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4.xml" ContentType="application/vnd.openxmlformats-officedocument.wordprocessingml.header+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Default Extension="bin" ContentType="application/vnd.openxmlformats-officedocument.oleObject"/>
  <Override PartName="/word/header3.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000" w:rsidRDefault="009E0000" w:rsidP="009E0000">
      <w:pPr>
        <w:pStyle w:val="TOCHeader"/>
        <w:tabs>
          <w:tab w:val="center" w:pos="4824"/>
          <w:tab w:val="right" w:pos="9648"/>
        </w:tabs>
        <w:rPr>
          <w:b/>
          <w:caps/>
        </w:rPr>
      </w:pPr>
      <w:bookmarkStart w:id="0" w:name="mpTableOfContents"/>
      <w:bookmarkStart w:id="1" w:name="zzmpTOCHeader_Primary"/>
      <w:r w:rsidRPr="00AF11DC">
        <w:rPr>
          <w:b/>
          <w:caps/>
        </w:rPr>
        <w:t>Table of Contents</w:t>
      </w:r>
    </w:p>
    <w:p w:rsidR="009E0000" w:rsidRDefault="009E0000" w:rsidP="009E0000">
      <w:pPr>
        <w:pStyle w:val="TOCHeader"/>
        <w:tabs>
          <w:tab w:val="center" w:pos="4824"/>
          <w:tab w:val="right" w:pos="9648"/>
        </w:tabs>
        <w:rPr>
          <w:u w:val="single"/>
        </w:rPr>
      </w:pPr>
      <w:r>
        <w:rPr>
          <w:b/>
          <w:caps/>
        </w:rPr>
        <w:t>Section 2</w:t>
      </w:r>
    </w:p>
    <w:p w:rsidR="009E0000" w:rsidRDefault="009E0000" w:rsidP="009E0000">
      <w:pPr>
        <w:pStyle w:val="TOCHeader"/>
        <w:tabs>
          <w:tab w:val="center" w:pos="4824"/>
          <w:tab w:val="right" w:pos="9648"/>
        </w:tabs>
      </w:pPr>
    </w:p>
    <w:p w:rsidR="009E0000" w:rsidRDefault="009E0000" w:rsidP="009E0000">
      <w:pPr>
        <w:pStyle w:val="TOCHeader"/>
        <w:tabs>
          <w:tab w:val="center" w:pos="4824"/>
          <w:tab w:val="right" w:pos="9648"/>
        </w:tabs>
        <w:spacing w:after="200"/>
        <w:jc w:val="right"/>
        <w:rPr>
          <w:u w:val="single"/>
        </w:rPr>
      </w:pPr>
      <w:r w:rsidRPr="00AF11DC">
        <w:rPr>
          <w:b/>
        </w:rPr>
        <w:t>Page</w:t>
      </w:r>
    </w:p>
    <w:bookmarkEnd w:id="1"/>
    <w:p w:rsidR="009E0000" w:rsidRPr="00AF11DC" w:rsidRDefault="009E0000" w:rsidP="009E0000">
      <w:pPr>
        <w:pStyle w:val="Header"/>
        <w:tabs>
          <w:tab w:val="clear" w:pos="4320"/>
          <w:tab w:val="clear" w:pos="8640"/>
          <w:tab w:val="center" w:pos="4824"/>
          <w:tab w:val="right" w:pos="9648"/>
        </w:tabs>
      </w:pPr>
    </w:p>
    <w:p w:rsidR="008144C3" w:rsidRPr="008144C3" w:rsidRDefault="00AF11DC">
      <w:pPr>
        <w:pStyle w:val="TOC1"/>
        <w:rPr>
          <w:rFonts w:ascii="Calibri" w:hAnsi="Calibri"/>
          <w:b w:val="0"/>
          <w:bCs w:val="0"/>
          <w:caps w:val="0"/>
          <w:snapToGrid/>
          <w:szCs w:val="22"/>
        </w:rPr>
      </w:pPr>
      <w:r w:rsidRPr="000479D0">
        <w:fldChar w:fldCharType="begin"/>
      </w:r>
      <w:r w:rsidRPr="000479D0">
        <w:instrText xml:space="preserve"> TOC \t "Article_L1,1,Article_L2,2,Article_L3,3,Article_L4,4,"\w \h \* MERGEFORMAT </w:instrText>
      </w:r>
      <w:r w:rsidRPr="000479D0">
        <w:fldChar w:fldCharType="separate"/>
      </w:r>
      <w:hyperlink w:anchor="_Toc88126485" w:history="1">
        <w:r w:rsidR="008144C3" w:rsidRPr="00206EA3">
          <w:rPr>
            <w:rStyle w:val="Hyperlink"/>
          </w:rPr>
          <w:t>Section 2 PARCEL A</w:t>
        </w:r>
        <w:r w:rsidR="008144C3">
          <w:tab/>
        </w:r>
        <w:r w:rsidR="008144C3">
          <w:fldChar w:fldCharType="begin"/>
        </w:r>
        <w:r w:rsidR="008144C3">
          <w:instrText xml:space="preserve"> PAGEREF _Toc88126485 \h </w:instrText>
        </w:r>
        <w:r w:rsidR="008144C3">
          <w:fldChar w:fldCharType="separate"/>
        </w:r>
        <w:r w:rsidR="00471EC5">
          <w:t>1</w:t>
        </w:r>
        <w:r w:rsidR="008144C3">
          <w:fldChar w:fldCharType="end"/>
        </w:r>
      </w:hyperlink>
    </w:p>
    <w:p w:rsidR="008144C3" w:rsidRPr="008144C3" w:rsidRDefault="008144C3">
      <w:pPr>
        <w:pStyle w:val="TOC2"/>
        <w:rPr>
          <w:rFonts w:ascii="Calibri" w:hAnsi="Calibri"/>
          <w:noProof/>
          <w:szCs w:val="22"/>
        </w:rPr>
      </w:pPr>
      <w:hyperlink w:anchor="_Toc88126486" w:history="1">
        <w:r w:rsidRPr="00206EA3">
          <w:rPr>
            <w:rStyle w:val="Hyperlink"/>
            <w:noProof/>
            <w:snapToGrid w:val="0"/>
          </w:rPr>
          <w:t>2.1</w:t>
        </w:r>
        <w:r w:rsidRPr="00206EA3">
          <w:rPr>
            <w:rStyle w:val="Hyperlink"/>
            <w:noProof/>
            <w:snapToGrid w:val="0"/>
          </w:rPr>
          <w:tab/>
          <w:t>INTRODUCTION</w:t>
        </w:r>
        <w:r>
          <w:rPr>
            <w:noProof/>
          </w:rPr>
          <w:tab/>
        </w:r>
        <w:r>
          <w:rPr>
            <w:noProof/>
          </w:rPr>
          <w:fldChar w:fldCharType="begin"/>
        </w:r>
        <w:r>
          <w:rPr>
            <w:noProof/>
          </w:rPr>
          <w:instrText xml:space="preserve"> PAGEREF _Toc88126486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2"/>
        <w:rPr>
          <w:rFonts w:ascii="Calibri" w:hAnsi="Calibri"/>
          <w:noProof/>
          <w:szCs w:val="22"/>
        </w:rPr>
      </w:pPr>
      <w:hyperlink w:anchor="_Toc88126487" w:history="1">
        <w:r w:rsidRPr="00206EA3">
          <w:rPr>
            <w:rStyle w:val="Hyperlink"/>
            <w:noProof/>
            <w:snapToGrid w:val="0"/>
          </w:rPr>
          <w:t>2.2</w:t>
        </w:r>
        <w:r w:rsidRPr="00206EA3">
          <w:rPr>
            <w:rStyle w:val="Hyperlink"/>
            <w:noProof/>
            <w:snapToGrid w:val="0"/>
          </w:rPr>
          <w:tab/>
          <w:t>LAND USE INFORMATION</w:t>
        </w:r>
        <w:r>
          <w:rPr>
            <w:noProof/>
          </w:rPr>
          <w:tab/>
        </w:r>
        <w:r>
          <w:rPr>
            <w:noProof/>
          </w:rPr>
          <w:fldChar w:fldCharType="begin"/>
        </w:r>
        <w:r>
          <w:rPr>
            <w:noProof/>
          </w:rPr>
          <w:instrText xml:space="preserve"> PAGEREF _Toc88126487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3"/>
        <w:rPr>
          <w:rFonts w:ascii="Calibri" w:hAnsi="Calibri"/>
          <w:noProof/>
          <w:szCs w:val="22"/>
        </w:rPr>
      </w:pPr>
      <w:hyperlink w:anchor="_Toc88126488" w:history="1">
        <w:r w:rsidRPr="00206EA3">
          <w:rPr>
            <w:rStyle w:val="Hyperlink"/>
            <w:noProof/>
          </w:rPr>
          <w:t>2.2.1</w:t>
        </w:r>
        <w:r w:rsidRPr="00206EA3">
          <w:rPr>
            <w:rStyle w:val="Hyperlink"/>
            <w:noProof/>
          </w:rPr>
          <w:tab/>
          <w:t>Existing Land Uses</w:t>
        </w:r>
        <w:r>
          <w:rPr>
            <w:noProof/>
          </w:rPr>
          <w:tab/>
        </w:r>
        <w:r>
          <w:rPr>
            <w:noProof/>
          </w:rPr>
          <w:fldChar w:fldCharType="begin"/>
        </w:r>
        <w:r>
          <w:rPr>
            <w:noProof/>
          </w:rPr>
          <w:instrText xml:space="preserve"> PAGEREF _Toc88126488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3"/>
        <w:rPr>
          <w:rFonts w:ascii="Calibri" w:hAnsi="Calibri"/>
          <w:noProof/>
          <w:szCs w:val="22"/>
        </w:rPr>
      </w:pPr>
      <w:hyperlink w:anchor="_Toc88126489" w:history="1">
        <w:r w:rsidRPr="00206EA3">
          <w:rPr>
            <w:rStyle w:val="Hyperlink"/>
            <w:noProof/>
          </w:rPr>
          <w:t>2.2.2</w:t>
        </w:r>
        <w:r w:rsidRPr="00206EA3">
          <w:rPr>
            <w:rStyle w:val="Hyperlink"/>
            <w:noProof/>
          </w:rPr>
          <w:tab/>
          <w:t>Proposed Land Uses</w:t>
        </w:r>
        <w:r>
          <w:rPr>
            <w:noProof/>
          </w:rPr>
          <w:tab/>
        </w:r>
        <w:r>
          <w:rPr>
            <w:noProof/>
          </w:rPr>
          <w:fldChar w:fldCharType="begin"/>
        </w:r>
        <w:r>
          <w:rPr>
            <w:noProof/>
          </w:rPr>
          <w:instrText xml:space="preserve"> PAGEREF _Toc88126489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3"/>
        <w:rPr>
          <w:rFonts w:ascii="Calibri" w:hAnsi="Calibri"/>
          <w:noProof/>
          <w:szCs w:val="22"/>
        </w:rPr>
      </w:pPr>
      <w:hyperlink w:anchor="_Toc88126490" w:history="1">
        <w:r w:rsidRPr="00206EA3">
          <w:rPr>
            <w:rStyle w:val="Hyperlink"/>
            <w:noProof/>
          </w:rPr>
          <w:t>2.2.3</w:t>
        </w:r>
        <w:r w:rsidRPr="00206EA3">
          <w:rPr>
            <w:rStyle w:val="Hyperlink"/>
            <w:noProof/>
          </w:rPr>
          <w:tab/>
          <w:t>Density</w:t>
        </w:r>
        <w:r>
          <w:rPr>
            <w:noProof/>
          </w:rPr>
          <w:tab/>
        </w:r>
        <w:r>
          <w:rPr>
            <w:noProof/>
          </w:rPr>
          <w:fldChar w:fldCharType="begin"/>
        </w:r>
        <w:r>
          <w:rPr>
            <w:noProof/>
          </w:rPr>
          <w:instrText xml:space="preserve"> PAGEREF _Toc88126490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3"/>
        <w:rPr>
          <w:rFonts w:ascii="Calibri" w:hAnsi="Calibri"/>
          <w:noProof/>
          <w:szCs w:val="22"/>
        </w:rPr>
      </w:pPr>
      <w:hyperlink w:anchor="_Toc88126491" w:history="1">
        <w:r w:rsidRPr="00206EA3">
          <w:rPr>
            <w:rStyle w:val="Hyperlink"/>
            <w:noProof/>
          </w:rPr>
          <w:t>2.2.4</w:t>
        </w:r>
        <w:r w:rsidRPr="00206EA3">
          <w:rPr>
            <w:rStyle w:val="Hyperlink"/>
            <w:noProof/>
          </w:rPr>
          <w:tab/>
          <w:t>Airport Influence Area</w:t>
        </w:r>
        <w:r>
          <w:rPr>
            <w:noProof/>
          </w:rPr>
          <w:tab/>
        </w:r>
        <w:r>
          <w:rPr>
            <w:noProof/>
          </w:rPr>
          <w:fldChar w:fldCharType="begin"/>
        </w:r>
        <w:r>
          <w:rPr>
            <w:noProof/>
          </w:rPr>
          <w:instrText xml:space="preserve"> PAGEREF _Toc88126491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2"/>
        <w:rPr>
          <w:rFonts w:ascii="Calibri" w:hAnsi="Calibri"/>
          <w:noProof/>
          <w:szCs w:val="22"/>
        </w:rPr>
      </w:pPr>
      <w:hyperlink w:anchor="_Toc88126492" w:history="1">
        <w:r w:rsidRPr="00206EA3">
          <w:rPr>
            <w:rStyle w:val="Hyperlink"/>
            <w:noProof/>
            <w:snapToGrid w:val="0"/>
          </w:rPr>
          <w:t>2.3</w:t>
        </w:r>
        <w:r w:rsidRPr="00206EA3">
          <w:rPr>
            <w:rStyle w:val="Hyperlink"/>
            <w:noProof/>
            <w:snapToGrid w:val="0"/>
          </w:rPr>
          <w:tab/>
          <w:t>CIRCULATION</w:t>
        </w:r>
        <w:r>
          <w:rPr>
            <w:noProof/>
          </w:rPr>
          <w:tab/>
        </w:r>
        <w:r>
          <w:rPr>
            <w:noProof/>
          </w:rPr>
          <w:fldChar w:fldCharType="begin"/>
        </w:r>
        <w:r>
          <w:rPr>
            <w:noProof/>
          </w:rPr>
          <w:instrText xml:space="preserve"> PAGEREF _Toc88126492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3"/>
        <w:rPr>
          <w:rFonts w:ascii="Calibri" w:hAnsi="Calibri"/>
          <w:noProof/>
          <w:szCs w:val="22"/>
        </w:rPr>
      </w:pPr>
      <w:hyperlink w:anchor="_Toc88126493" w:history="1">
        <w:r w:rsidRPr="00206EA3">
          <w:rPr>
            <w:rStyle w:val="Hyperlink"/>
            <w:noProof/>
          </w:rPr>
          <w:t>2.3.1</w:t>
        </w:r>
        <w:r w:rsidRPr="00206EA3">
          <w:rPr>
            <w:rStyle w:val="Hyperlink"/>
            <w:noProof/>
          </w:rPr>
          <w:tab/>
          <w:t>Site Access</w:t>
        </w:r>
        <w:r>
          <w:rPr>
            <w:noProof/>
          </w:rPr>
          <w:tab/>
        </w:r>
        <w:r>
          <w:rPr>
            <w:noProof/>
          </w:rPr>
          <w:fldChar w:fldCharType="begin"/>
        </w:r>
        <w:r>
          <w:rPr>
            <w:noProof/>
          </w:rPr>
          <w:instrText xml:space="preserve"> PAGEREF _Toc88126493 \h </w:instrText>
        </w:r>
        <w:r>
          <w:rPr>
            <w:noProof/>
          </w:rPr>
        </w:r>
        <w:r>
          <w:rPr>
            <w:noProof/>
          </w:rPr>
          <w:fldChar w:fldCharType="separate"/>
        </w:r>
        <w:r w:rsidR="00471EC5">
          <w:rPr>
            <w:noProof/>
          </w:rPr>
          <w:t>1</w:t>
        </w:r>
        <w:r>
          <w:rPr>
            <w:noProof/>
          </w:rPr>
          <w:fldChar w:fldCharType="end"/>
        </w:r>
      </w:hyperlink>
    </w:p>
    <w:p w:rsidR="008144C3" w:rsidRPr="008144C3" w:rsidRDefault="008144C3">
      <w:pPr>
        <w:pStyle w:val="TOC3"/>
        <w:rPr>
          <w:rFonts w:ascii="Calibri" w:hAnsi="Calibri"/>
          <w:noProof/>
          <w:szCs w:val="22"/>
        </w:rPr>
      </w:pPr>
      <w:hyperlink w:anchor="_Toc88126494" w:history="1">
        <w:r w:rsidRPr="00206EA3">
          <w:rPr>
            <w:rStyle w:val="Hyperlink"/>
            <w:noProof/>
          </w:rPr>
          <w:t>2.3.2</w:t>
        </w:r>
        <w:r w:rsidRPr="00206EA3">
          <w:rPr>
            <w:rStyle w:val="Hyperlink"/>
            <w:noProof/>
          </w:rPr>
          <w:tab/>
          <w:t>Internal Circulation</w:t>
        </w:r>
        <w:r>
          <w:rPr>
            <w:noProof/>
          </w:rPr>
          <w:tab/>
        </w:r>
        <w:r>
          <w:rPr>
            <w:noProof/>
          </w:rPr>
          <w:fldChar w:fldCharType="begin"/>
        </w:r>
        <w:r>
          <w:rPr>
            <w:noProof/>
          </w:rPr>
          <w:instrText xml:space="preserve"> PAGEREF _Toc88126494 \h </w:instrText>
        </w:r>
        <w:r>
          <w:rPr>
            <w:noProof/>
          </w:rPr>
        </w:r>
        <w:r>
          <w:rPr>
            <w:noProof/>
          </w:rPr>
          <w:fldChar w:fldCharType="separate"/>
        </w:r>
        <w:r w:rsidR="00471EC5">
          <w:rPr>
            <w:noProof/>
          </w:rPr>
          <w:t>2</w:t>
        </w:r>
        <w:r>
          <w:rPr>
            <w:noProof/>
          </w:rPr>
          <w:fldChar w:fldCharType="end"/>
        </w:r>
      </w:hyperlink>
    </w:p>
    <w:p w:rsidR="008144C3" w:rsidRPr="008144C3" w:rsidRDefault="008144C3">
      <w:pPr>
        <w:pStyle w:val="TOC3"/>
        <w:rPr>
          <w:rFonts w:ascii="Calibri" w:hAnsi="Calibri"/>
          <w:noProof/>
          <w:szCs w:val="22"/>
        </w:rPr>
      </w:pPr>
      <w:hyperlink w:anchor="_Toc88126495" w:history="1">
        <w:r w:rsidRPr="00206EA3">
          <w:rPr>
            <w:rStyle w:val="Hyperlink"/>
            <w:noProof/>
          </w:rPr>
          <w:t>2.3.3</w:t>
        </w:r>
        <w:r w:rsidRPr="00206EA3">
          <w:rPr>
            <w:rStyle w:val="Hyperlink"/>
            <w:noProof/>
          </w:rPr>
          <w:tab/>
          <w:t>Standards</w:t>
        </w:r>
        <w:r>
          <w:rPr>
            <w:noProof/>
          </w:rPr>
          <w:tab/>
        </w:r>
        <w:r>
          <w:rPr>
            <w:noProof/>
          </w:rPr>
          <w:fldChar w:fldCharType="begin"/>
        </w:r>
        <w:r>
          <w:rPr>
            <w:noProof/>
          </w:rPr>
          <w:instrText xml:space="preserve"> PAGEREF _Toc88126495 \h </w:instrText>
        </w:r>
        <w:r>
          <w:rPr>
            <w:noProof/>
          </w:rPr>
        </w:r>
        <w:r>
          <w:rPr>
            <w:noProof/>
          </w:rPr>
          <w:fldChar w:fldCharType="separate"/>
        </w:r>
        <w:r w:rsidR="00471EC5">
          <w:rPr>
            <w:noProof/>
          </w:rPr>
          <w:t>2</w:t>
        </w:r>
        <w:r>
          <w:rPr>
            <w:noProof/>
          </w:rPr>
          <w:fldChar w:fldCharType="end"/>
        </w:r>
      </w:hyperlink>
    </w:p>
    <w:p w:rsidR="008144C3" w:rsidRPr="008144C3" w:rsidRDefault="008144C3">
      <w:pPr>
        <w:pStyle w:val="TOC2"/>
        <w:rPr>
          <w:rFonts w:ascii="Calibri" w:hAnsi="Calibri"/>
          <w:noProof/>
          <w:szCs w:val="22"/>
        </w:rPr>
      </w:pPr>
      <w:hyperlink w:anchor="_Toc88126496" w:history="1">
        <w:r w:rsidRPr="00206EA3">
          <w:rPr>
            <w:rStyle w:val="Hyperlink"/>
            <w:noProof/>
            <w:snapToGrid w:val="0"/>
          </w:rPr>
          <w:t>2.4</w:t>
        </w:r>
        <w:r w:rsidRPr="00206EA3">
          <w:rPr>
            <w:rStyle w:val="Hyperlink"/>
            <w:noProof/>
            <w:snapToGrid w:val="0"/>
          </w:rPr>
          <w:tab/>
          <w:t>PUBLIC AND PRIVATE UTILITIES</w:t>
        </w:r>
        <w:r>
          <w:rPr>
            <w:noProof/>
          </w:rPr>
          <w:tab/>
        </w:r>
        <w:r>
          <w:rPr>
            <w:noProof/>
          </w:rPr>
          <w:fldChar w:fldCharType="begin"/>
        </w:r>
        <w:r>
          <w:rPr>
            <w:noProof/>
          </w:rPr>
          <w:instrText xml:space="preserve"> PAGEREF _Toc88126496 \h </w:instrText>
        </w:r>
        <w:r>
          <w:rPr>
            <w:noProof/>
          </w:rPr>
        </w:r>
        <w:r>
          <w:rPr>
            <w:noProof/>
          </w:rPr>
          <w:fldChar w:fldCharType="separate"/>
        </w:r>
        <w:r w:rsidR="00471EC5">
          <w:rPr>
            <w:noProof/>
          </w:rPr>
          <w:t>2</w:t>
        </w:r>
        <w:r>
          <w:rPr>
            <w:noProof/>
          </w:rPr>
          <w:fldChar w:fldCharType="end"/>
        </w:r>
      </w:hyperlink>
    </w:p>
    <w:p w:rsidR="008144C3" w:rsidRPr="008144C3" w:rsidRDefault="008144C3">
      <w:pPr>
        <w:pStyle w:val="TOC3"/>
        <w:rPr>
          <w:rFonts w:ascii="Calibri" w:hAnsi="Calibri"/>
          <w:noProof/>
          <w:szCs w:val="22"/>
        </w:rPr>
      </w:pPr>
      <w:hyperlink w:anchor="_Toc88126497" w:history="1">
        <w:r w:rsidRPr="00206EA3">
          <w:rPr>
            <w:rStyle w:val="Hyperlink"/>
            <w:noProof/>
          </w:rPr>
          <w:t>2.4.1</w:t>
        </w:r>
        <w:r w:rsidRPr="00206EA3">
          <w:rPr>
            <w:rStyle w:val="Hyperlink"/>
            <w:noProof/>
          </w:rPr>
          <w:tab/>
          <w:t xml:space="preserve">Water and </w:t>
        </w:r>
        <w:r w:rsidR="006C13C2">
          <w:rPr>
            <w:rStyle w:val="Hyperlink"/>
            <w:noProof/>
          </w:rPr>
          <w:t>Wastewater</w:t>
        </w:r>
        <w:r>
          <w:rPr>
            <w:noProof/>
          </w:rPr>
          <w:tab/>
        </w:r>
        <w:r>
          <w:rPr>
            <w:noProof/>
          </w:rPr>
          <w:fldChar w:fldCharType="begin"/>
        </w:r>
        <w:r>
          <w:rPr>
            <w:noProof/>
          </w:rPr>
          <w:instrText xml:space="preserve"> PAGEREF _Toc88126497 \h </w:instrText>
        </w:r>
        <w:r>
          <w:rPr>
            <w:noProof/>
          </w:rPr>
        </w:r>
        <w:r>
          <w:rPr>
            <w:noProof/>
          </w:rPr>
          <w:fldChar w:fldCharType="separate"/>
        </w:r>
        <w:r w:rsidR="00471EC5">
          <w:rPr>
            <w:noProof/>
          </w:rPr>
          <w:t>2</w:t>
        </w:r>
        <w:r>
          <w:rPr>
            <w:noProof/>
          </w:rPr>
          <w:fldChar w:fldCharType="end"/>
        </w:r>
      </w:hyperlink>
    </w:p>
    <w:p w:rsidR="008144C3" w:rsidRPr="008144C3" w:rsidRDefault="008144C3">
      <w:pPr>
        <w:pStyle w:val="TOC3"/>
        <w:rPr>
          <w:rFonts w:ascii="Calibri" w:hAnsi="Calibri"/>
          <w:noProof/>
          <w:szCs w:val="22"/>
        </w:rPr>
      </w:pPr>
      <w:hyperlink w:anchor="_Toc88126498" w:history="1">
        <w:r w:rsidRPr="00206EA3">
          <w:rPr>
            <w:rStyle w:val="Hyperlink"/>
            <w:noProof/>
          </w:rPr>
          <w:t>2.4.2</w:t>
        </w:r>
        <w:r w:rsidRPr="00206EA3">
          <w:rPr>
            <w:rStyle w:val="Hyperlink"/>
            <w:noProof/>
          </w:rPr>
          <w:tab/>
          <w:t>Storm Drainage</w:t>
        </w:r>
        <w:r>
          <w:rPr>
            <w:noProof/>
          </w:rPr>
          <w:tab/>
        </w:r>
        <w:r>
          <w:rPr>
            <w:noProof/>
          </w:rPr>
          <w:fldChar w:fldCharType="begin"/>
        </w:r>
        <w:r>
          <w:rPr>
            <w:noProof/>
          </w:rPr>
          <w:instrText xml:space="preserve"> PAGEREF _Toc88126498 \h </w:instrText>
        </w:r>
        <w:r>
          <w:rPr>
            <w:noProof/>
          </w:rPr>
        </w:r>
        <w:r>
          <w:rPr>
            <w:noProof/>
          </w:rPr>
          <w:fldChar w:fldCharType="separate"/>
        </w:r>
        <w:r w:rsidR="00471EC5">
          <w:rPr>
            <w:noProof/>
          </w:rPr>
          <w:t>2</w:t>
        </w:r>
        <w:r>
          <w:rPr>
            <w:noProof/>
          </w:rPr>
          <w:fldChar w:fldCharType="end"/>
        </w:r>
      </w:hyperlink>
    </w:p>
    <w:p w:rsidR="008144C3" w:rsidRPr="008144C3" w:rsidRDefault="008144C3">
      <w:pPr>
        <w:pStyle w:val="TOC3"/>
        <w:rPr>
          <w:rFonts w:ascii="Calibri" w:hAnsi="Calibri"/>
          <w:noProof/>
          <w:szCs w:val="22"/>
        </w:rPr>
      </w:pPr>
      <w:hyperlink w:anchor="_Toc88126499" w:history="1">
        <w:r w:rsidRPr="00206EA3">
          <w:rPr>
            <w:rStyle w:val="Hyperlink"/>
            <w:noProof/>
          </w:rPr>
          <w:t>2.4.3</w:t>
        </w:r>
        <w:r w:rsidRPr="00206EA3">
          <w:rPr>
            <w:rStyle w:val="Hyperlink"/>
            <w:noProof/>
          </w:rPr>
          <w:tab/>
          <w:t>Electric</w:t>
        </w:r>
        <w:r>
          <w:rPr>
            <w:noProof/>
          </w:rPr>
          <w:tab/>
        </w:r>
        <w:r>
          <w:rPr>
            <w:noProof/>
          </w:rPr>
          <w:fldChar w:fldCharType="begin"/>
        </w:r>
        <w:r>
          <w:rPr>
            <w:noProof/>
          </w:rPr>
          <w:instrText xml:space="preserve"> PAGEREF _Toc88126499 \h </w:instrText>
        </w:r>
        <w:r>
          <w:rPr>
            <w:noProof/>
          </w:rPr>
        </w:r>
        <w:r>
          <w:rPr>
            <w:noProof/>
          </w:rPr>
          <w:fldChar w:fldCharType="separate"/>
        </w:r>
        <w:r w:rsidR="00471EC5">
          <w:rPr>
            <w:noProof/>
          </w:rPr>
          <w:t>2</w:t>
        </w:r>
        <w:r>
          <w:rPr>
            <w:noProof/>
          </w:rPr>
          <w:fldChar w:fldCharType="end"/>
        </w:r>
      </w:hyperlink>
    </w:p>
    <w:p w:rsidR="008144C3" w:rsidRPr="008144C3" w:rsidRDefault="008144C3">
      <w:pPr>
        <w:pStyle w:val="TOC3"/>
        <w:rPr>
          <w:rFonts w:ascii="Calibri" w:hAnsi="Calibri"/>
          <w:noProof/>
          <w:szCs w:val="22"/>
        </w:rPr>
      </w:pPr>
      <w:hyperlink w:anchor="_Toc88126500" w:history="1">
        <w:r w:rsidRPr="00206EA3">
          <w:rPr>
            <w:rStyle w:val="Hyperlink"/>
            <w:noProof/>
          </w:rPr>
          <w:t>2.4.4</w:t>
        </w:r>
        <w:r w:rsidRPr="00206EA3">
          <w:rPr>
            <w:rStyle w:val="Hyperlink"/>
            <w:noProof/>
          </w:rPr>
          <w:tab/>
          <w:t>Natural Gas</w:t>
        </w:r>
        <w:r>
          <w:rPr>
            <w:noProof/>
          </w:rPr>
          <w:tab/>
        </w:r>
        <w:r>
          <w:rPr>
            <w:noProof/>
          </w:rPr>
          <w:fldChar w:fldCharType="begin"/>
        </w:r>
        <w:r>
          <w:rPr>
            <w:noProof/>
          </w:rPr>
          <w:instrText xml:space="preserve"> PAGEREF _Toc88126500 \h </w:instrText>
        </w:r>
        <w:r>
          <w:rPr>
            <w:noProof/>
          </w:rPr>
        </w:r>
        <w:r>
          <w:rPr>
            <w:noProof/>
          </w:rPr>
          <w:fldChar w:fldCharType="separate"/>
        </w:r>
        <w:r w:rsidR="00471EC5">
          <w:rPr>
            <w:noProof/>
          </w:rPr>
          <w:t>3</w:t>
        </w:r>
        <w:r>
          <w:rPr>
            <w:noProof/>
          </w:rPr>
          <w:fldChar w:fldCharType="end"/>
        </w:r>
      </w:hyperlink>
    </w:p>
    <w:p w:rsidR="008144C3" w:rsidRPr="008144C3" w:rsidRDefault="008144C3">
      <w:pPr>
        <w:pStyle w:val="TOC3"/>
        <w:rPr>
          <w:rFonts w:ascii="Calibri" w:hAnsi="Calibri"/>
          <w:noProof/>
          <w:szCs w:val="22"/>
        </w:rPr>
      </w:pPr>
      <w:hyperlink w:anchor="_Toc88126501" w:history="1">
        <w:r w:rsidRPr="00206EA3">
          <w:rPr>
            <w:rStyle w:val="Hyperlink"/>
            <w:noProof/>
          </w:rPr>
          <w:t>2.4.5</w:t>
        </w:r>
        <w:r w:rsidRPr="00206EA3">
          <w:rPr>
            <w:rStyle w:val="Hyperlink"/>
            <w:noProof/>
          </w:rPr>
          <w:tab/>
          <w:t>Telephone</w:t>
        </w:r>
        <w:r>
          <w:rPr>
            <w:noProof/>
          </w:rPr>
          <w:tab/>
        </w:r>
        <w:r>
          <w:rPr>
            <w:noProof/>
          </w:rPr>
          <w:fldChar w:fldCharType="begin"/>
        </w:r>
        <w:r>
          <w:rPr>
            <w:noProof/>
          </w:rPr>
          <w:instrText xml:space="preserve"> PAGEREF _Toc88126501 \h </w:instrText>
        </w:r>
        <w:r>
          <w:rPr>
            <w:noProof/>
          </w:rPr>
        </w:r>
        <w:r>
          <w:rPr>
            <w:noProof/>
          </w:rPr>
          <w:fldChar w:fldCharType="separate"/>
        </w:r>
        <w:r w:rsidR="00471EC5">
          <w:rPr>
            <w:noProof/>
          </w:rPr>
          <w:t>3</w:t>
        </w:r>
        <w:r>
          <w:rPr>
            <w:noProof/>
          </w:rPr>
          <w:fldChar w:fldCharType="end"/>
        </w:r>
      </w:hyperlink>
    </w:p>
    <w:p w:rsidR="008144C3" w:rsidRPr="008144C3" w:rsidRDefault="008144C3">
      <w:pPr>
        <w:pStyle w:val="TOC3"/>
        <w:rPr>
          <w:rFonts w:ascii="Calibri" w:hAnsi="Calibri"/>
          <w:noProof/>
          <w:szCs w:val="22"/>
        </w:rPr>
      </w:pPr>
      <w:hyperlink w:anchor="_Toc88126502" w:history="1">
        <w:r w:rsidRPr="00206EA3">
          <w:rPr>
            <w:rStyle w:val="Hyperlink"/>
            <w:noProof/>
          </w:rPr>
          <w:t>2.4.6</w:t>
        </w:r>
        <w:r w:rsidRPr="00206EA3">
          <w:rPr>
            <w:rStyle w:val="Hyperlink"/>
            <w:noProof/>
          </w:rPr>
          <w:tab/>
          <w:t>Irrigation Ditches</w:t>
        </w:r>
        <w:r>
          <w:rPr>
            <w:noProof/>
          </w:rPr>
          <w:tab/>
        </w:r>
        <w:r>
          <w:rPr>
            <w:noProof/>
          </w:rPr>
          <w:fldChar w:fldCharType="begin"/>
        </w:r>
        <w:r>
          <w:rPr>
            <w:noProof/>
          </w:rPr>
          <w:instrText xml:space="preserve"> PAGEREF _Toc88126502 \h </w:instrText>
        </w:r>
        <w:r>
          <w:rPr>
            <w:noProof/>
          </w:rPr>
        </w:r>
        <w:r>
          <w:rPr>
            <w:noProof/>
          </w:rPr>
          <w:fldChar w:fldCharType="separate"/>
        </w:r>
        <w:r w:rsidR="00471EC5">
          <w:rPr>
            <w:noProof/>
          </w:rPr>
          <w:t>3</w:t>
        </w:r>
        <w:r>
          <w:rPr>
            <w:noProof/>
          </w:rPr>
          <w:fldChar w:fldCharType="end"/>
        </w:r>
      </w:hyperlink>
    </w:p>
    <w:p w:rsidR="008144C3" w:rsidRPr="008144C3" w:rsidRDefault="008144C3">
      <w:pPr>
        <w:pStyle w:val="TOC3"/>
        <w:rPr>
          <w:rFonts w:ascii="Calibri" w:hAnsi="Calibri"/>
          <w:noProof/>
          <w:szCs w:val="22"/>
        </w:rPr>
      </w:pPr>
      <w:hyperlink w:anchor="_Toc88126503" w:history="1">
        <w:r w:rsidRPr="00206EA3">
          <w:rPr>
            <w:rStyle w:val="Hyperlink"/>
            <w:noProof/>
          </w:rPr>
          <w:t>2.4.7</w:t>
        </w:r>
        <w:r w:rsidRPr="00206EA3">
          <w:rPr>
            <w:rStyle w:val="Hyperlink"/>
            <w:noProof/>
          </w:rPr>
          <w:tab/>
          <w:t>Railroads</w:t>
        </w:r>
        <w:r>
          <w:rPr>
            <w:noProof/>
          </w:rPr>
          <w:tab/>
        </w:r>
        <w:r>
          <w:rPr>
            <w:noProof/>
          </w:rPr>
          <w:fldChar w:fldCharType="begin"/>
        </w:r>
        <w:r>
          <w:rPr>
            <w:noProof/>
          </w:rPr>
          <w:instrText xml:space="preserve"> PAGEREF _Toc88126503 \h </w:instrText>
        </w:r>
        <w:r>
          <w:rPr>
            <w:noProof/>
          </w:rPr>
        </w:r>
        <w:r>
          <w:rPr>
            <w:noProof/>
          </w:rPr>
          <w:fldChar w:fldCharType="separate"/>
        </w:r>
        <w:r w:rsidR="00471EC5">
          <w:rPr>
            <w:noProof/>
          </w:rPr>
          <w:t>3</w:t>
        </w:r>
        <w:r>
          <w:rPr>
            <w:noProof/>
          </w:rPr>
          <w:fldChar w:fldCharType="end"/>
        </w:r>
      </w:hyperlink>
    </w:p>
    <w:p w:rsidR="008144C3" w:rsidRPr="008144C3" w:rsidRDefault="008144C3">
      <w:pPr>
        <w:pStyle w:val="TOC2"/>
        <w:rPr>
          <w:rFonts w:ascii="Calibri" w:hAnsi="Calibri"/>
          <w:noProof/>
          <w:szCs w:val="22"/>
        </w:rPr>
      </w:pPr>
      <w:hyperlink w:anchor="_Toc88126504" w:history="1">
        <w:r w:rsidRPr="00206EA3">
          <w:rPr>
            <w:rStyle w:val="Hyperlink"/>
            <w:noProof/>
            <w:snapToGrid w:val="0"/>
          </w:rPr>
          <w:t>2.5</w:t>
        </w:r>
        <w:r w:rsidRPr="00206EA3">
          <w:rPr>
            <w:rStyle w:val="Hyperlink"/>
            <w:noProof/>
            <w:snapToGrid w:val="0"/>
          </w:rPr>
          <w:tab/>
          <w:t>NATURAL AREAS</w:t>
        </w:r>
        <w:r>
          <w:rPr>
            <w:noProof/>
          </w:rPr>
          <w:tab/>
        </w:r>
        <w:r>
          <w:rPr>
            <w:noProof/>
          </w:rPr>
          <w:fldChar w:fldCharType="begin"/>
        </w:r>
        <w:r>
          <w:rPr>
            <w:noProof/>
          </w:rPr>
          <w:instrText xml:space="preserve"> PAGEREF _Toc88126504 \h </w:instrText>
        </w:r>
        <w:r>
          <w:rPr>
            <w:noProof/>
          </w:rPr>
        </w:r>
        <w:r>
          <w:rPr>
            <w:noProof/>
          </w:rPr>
          <w:fldChar w:fldCharType="separate"/>
        </w:r>
        <w:r w:rsidR="00471EC5">
          <w:rPr>
            <w:noProof/>
          </w:rPr>
          <w:t>3</w:t>
        </w:r>
        <w:r>
          <w:rPr>
            <w:noProof/>
          </w:rPr>
          <w:fldChar w:fldCharType="end"/>
        </w:r>
      </w:hyperlink>
    </w:p>
    <w:p w:rsidR="008144C3" w:rsidRPr="008144C3" w:rsidRDefault="008144C3">
      <w:pPr>
        <w:pStyle w:val="TOC2"/>
        <w:rPr>
          <w:rFonts w:ascii="Calibri" w:hAnsi="Calibri"/>
          <w:noProof/>
          <w:szCs w:val="22"/>
        </w:rPr>
      </w:pPr>
      <w:hyperlink w:anchor="_Toc88126505" w:history="1">
        <w:r w:rsidRPr="00206EA3">
          <w:rPr>
            <w:rStyle w:val="Hyperlink"/>
            <w:noProof/>
            <w:snapToGrid w:val="0"/>
          </w:rPr>
          <w:t>2.6</w:t>
        </w:r>
        <w:r w:rsidRPr="00206EA3">
          <w:rPr>
            <w:rStyle w:val="Hyperlink"/>
            <w:noProof/>
            <w:snapToGrid w:val="0"/>
          </w:rPr>
          <w:tab/>
          <w:t>LANDFORM MODIFICATION</w:t>
        </w:r>
        <w:r>
          <w:rPr>
            <w:noProof/>
          </w:rPr>
          <w:tab/>
        </w:r>
        <w:r>
          <w:rPr>
            <w:noProof/>
          </w:rPr>
          <w:fldChar w:fldCharType="begin"/>
        </w:r>
        <w:r>
          <w:rPr>
            <w:noProof/>
          </w:rPr>
          <w:instrText xml:space="preserve"> PAGEREF _Toc88126505 \h </w:instrText>
        </w:r>
        <w:r>
          <w:rPr>
            <w:noProof/>
          </w:rPr>
        </w:r>
        <w:r>
          <w:rPr>
            <w:noProof/>
          </w:rPr>
          <w:fldChar w:fldCharType="separate"/>
        </w:r>
        <w:r w:rsidR="00471EC5">
          <w:rPr>
            <w:noProof/>
          </w:rPr>
          <w:t>3</w:t>
        </w:r>
        <w:r>
          <w:rPr>
            <w:noProof/>
          </w:rPr>
          <w:fldChar w:fldCharType="end"/>
        </w:r>
      </w:hyperlink>
    </w:p>
    <w:p w:rsidR="008144C3" w:rsidRPr="008144C3" w:rsidRDefault="008144C3">
      <w:pPr>
        <w:pStyle w:val="TOC2"/>
        <w:rPr>
          <w:rFonts w:ascii="Calibri" w:hAnsi="Calibri"/>
          <w:noProof/>
          <w:szCs w:val="22"/>
        </w:rPr>
      </w:pPr>
      <w:hyperlink w:anchor="_Toc88126506" w:history="1">
        <w:r w:rsidRPr="00206EA3">
          <w:rPr>
            <w:rStyle w:val="Hyperlink"/>
            <w:noProof/>
            <w:snapToGrid w:val="0"/>
          </w:rPr>
          <w:t>2.7</w:t>
        </w:r>
        <w:r w:rsidRPr="00206EA3">
          <w:rPr>
            <w:rStyle w:val="Hyperlink"/>
            <w:noProof/>
            <w:snapToGrid w:val="0"/>
          </w:rPr>
          <w:tab/>
          <w:t>DEVELOPMENT CONDITIONS</w:t>
        </w:r>
        <w:r>
          <w:rPr>
            <w:noProof/>
          </w:rPr>
          <w:tab/>
        </w:r>
        <w:r>
          <w:rPr>
            <w:noProof/>
          </w:rPr>
          <w:fldChar w:fldCharType="begin"/>
        </w:r>
        <w:r>
          <w:rPr>
            <w:noProof/>
          </w:rPr>
          <w:instrText xml:space="preserve"> PAGEREF _Toc88126506 \h </w:instrText>
        </w:r>
        <w:r>
          <w:rPr>
            <w:noProof/>
          </w:rPr>
        </w:r>
        <w:r>
          <w:rPr>
            <w:noProof/>
          </w:rPr>
          <w:fldChar w:fldCharType="separate"/>
        </w:r>
        <w:r w:rsidR="00471EC5">
          <w:rPr>
            <w:noProof/>
          </w:rPr>
          <w:t>3</w:t>
        </w:r>
        <w:r>
          <w:rPr>
            <w:noProof/>
          </w:rPr>
          <w:fldChar w:fldCharType="end"/>
        </w:r>
      </w:hyperlink>
    </w:p>
    <w:p w:rsidR="008144C3" w:rsidRPr="008144C3" w:rsidRDefault="008144C3">
      <w:pPr>
        <w:pStyle w:val="TOC4"/>
        <w:rPr>
          <w:rFonts w:ascii="Calibri" w:hAnsi="Calibri"/>
          <w:noProof/>
          <w:szCs w:val="22"/>
        </w:rPr>
      </w:pPr>
      <w:hyperlink w:anchor="_Toc88126507" w:history="1">
        <w:r w:rsidRPr="00206EA3">
          <w:rPr>
            <w:rStyle w:val="Hyperlink"/>
            <w:noProof/>
          </w:rPr>
          <w:t>Appendix 2-1 SPECIAL CONDITIONS FOR PARCEL A</w:t>
        </w:r>
        <w:r>
          <w:rPr>
            <w:noProof/>
          </w:rPr>
          <w:tab/>
        </w:r>
        <w:r>
          <w:rPr>
            <w:noProof/>
          </w:rPr>
          <w:fldChar w:fldCharType="begin"/>
        </w:r>
        <w:r>
          <w:rPr>
            <w:noProof/>
          </w:rPr>
          <w:instrText xml:space="preserve"> PAGEREF _Toc88126507 \h </w:instrText>
        </w:r>
        <w:r>
          <w:rPr>
            <w:noProof/>
          </w:rPr>
        </w:r>
        <w:r>
          <w:rPr>
            <w:noProof/>
          </w:rPr>
          <w:fldChar w:fldCharType="separate"/>
        </w:r>
        <w:r w:rsidR="00471EC5">
          <w:rPr>
            <w:noProof/>
          </w:rPr>
          <w:t>4</w:t>
        </w:r>
        <w:r>
          <w:rPr>
            <w:noProof/>
          </w:rPr>
          <w:fldChar w:fldCharType="end"/>
        </w:r>
      </w:hyperlink>
    </w:p>
    <w:p w:rsidR="00AF11DC" w:rsidRDefault="00AF11DC" w:rsidP="00AF11DC">
      <w:pPr>
        <w:sectPr w:rsidR="00AF11DC" w:rsidSect="009E00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440" w:left="1440" w:header="720" w:footer="720" w:gutter="0"/>
          <w:pgNumType w:fmt="lowerRoman" w:start="1"/>
          <w:cols w:space="432"/>
          <w:noEndnote/>
          <w:titlePg/>
          <w:docGrid w:linePitch="299"/>
        </w:sectPr>
      </w:pPr>
      <w:r w:rsidRPr="00AF11DC">
        <w:fldChar w:fldCharType="end"/>
      </w:r>
      <w:bookmarkStart w:id="3" w:name="_Hlk80100763"/>
      <w:bookmarkEnd w:id="0"/>
    </w:p>
    <w:bookmarkEnd w:id="3"/>
    <w:p w:rsidR="000D1EAB" w:rsidRDefault="00A1662A" w:rsidP="00AC1023">
      <w:pPr>
        <w:pStyle w:val="ArticleL1"/>
        <w:rPr>
          <w:snapToGrid w:val="0"/>
        </w:rPr>
      </w:pPr>
      <w:r w:rsidRPr="00A1662A">
        <w:rPr>
          <w:snapToGrid w:val="0"/>
        </w:rPr>
        <w:lastRenderedPageBreak/>
        <w:br/>
      </w:r>
      <w:bookmarkStart w:id="4" w:name="_Toc88126485"/>
      <w:r w:rsidR="000D1EAB">
        <w:rPr>
          <w:snapToGrid w:val="0"/>
        </w:rPr>
        <w:t>PARCEL</w:t>
      </w:r>
      <w:r w:rsidR="000D1EAB">
        <w:rPr>
          <w:bCs/>
          <w:snapToGrid w:val="0"/>
        </w:rPr>
        <w:t xml:space="preserve"> </w:t>
      </w:r>
      <w:r w:rsidR="000D1EAB">
        <w:rPr>
          <w:snapToGrid w:val="0"/>
        </w:rPr>
        <w:t>A</w:t>
      </w:r>
      <w:bookmarkEnd w:id="4"/>
    </w:p>
    <w:p w:rsidR="000D1EAB" w:rsidRPr="00B26011" w:rsidRDefault="000D1EAB" w:rsidP="00AC1023">
      <w:pPr>
        <w:pStyle w:val="ArticleL2"/>
        <w:numPr>
          <w:ilvl w:val="1"/>
          <w:numId w:val="5"/>
        </w:numPr>
        <w:rPr>
          <w:snapToGrid w:val="0"/>
        </w:rPr>
      </w:pPr>
      <w:bookmarkStart w:id="5" w:name="_Toc88126486"/>
      <w:r w:rsidRPr="00B26011">
        <w:rPr>
          <w:snapToGrid w:val="0"/>
        </w:rPr>
        <w:t>INTRODUCTION</w:t>
      </w:r>
      <w:bookmarkEnd w:id="5"/>
    </w:p>
    <w:p w:rsidR="000D1EAB" w:rsidRDefault="000D1EAB" w:rsidP="00AF11DC">
      <w:pPr>
        <w:pStyle w:val="BodyText"/>
        <w:rPr>
          <w:snapToGrid w:val="0"/>
        </w:rPr>
      </w:pPr>
      <w:r>
        <w:rPr>
          <w:snapToGrid w:val="0"/>
        </w:rPr>
        <w:t>Parcel A is approximately 1</w:t>
      </w:r>
      <w:r w:rsidR="000479D0">
        <w:rPr>
          <w:snapToGrid w:val="0"/>
        </w:rPr>
        <w:t>,</w:t>
      </w:r>
      <w:r>
        <w:rPr>
          <w:snapToGrid w:val="0"/>
        </w:rPr>
        <w:t>16</w:t>
      </w:r>
      <w:r w:rsidR="00946437">
        <w:rPr>
          <w:snapToGrid w:val="0"/>
        </w:rPr>
        <w:t>4</w:t>
      </w:r>
      <w:r>
        <w:rPr>
          <w:snapToGrid w:val="0"/>
        </w:rPr>
        <w:t xml:space="preserve"> acres in size and includes Parcels A, B and C of the East Region of the Millennium Addition, Tract A of the McWhinney Addition, Parcels C and D of the Savanna Addition and the East and Central Parcels of the Grange Addition.</w:t>
      </w:r>
    </w:p>
    <w:p w:rsidR="000D1EAB" w:rsidRDefault="000D1EAB" w:rsidP="00AF11DC">
      <w:pPr>
        <w:pStyle w:val="BodyText"/>
        <w:rPr>
          <w:b/>
          <w:snapToGrid w:val="0"/>
        </w:rPr>
      </w:pPr>
      <w:r>
        <w:rPr>
          <w:snapToGrid w:val="0"/>
        </w:rPr>
        <w:t xml:space="preserve">This site is located at the northeast corner of I-25 and US 34 (East Eisenhower Boulevard).  The site is divided by the Union Pacific Railroad tracks, which run roughly from the northwest corner of the site to the southeast corner of the site.  The Greeley – Loveland Irrigation Canal and the Farmers Ditch cross the southern portion of the site. </w:t>
      </w:r>
      <w:r w:rsidR="001C6EA5">
        <w:rPr>
          <w:snapToGrid w:val="0"/>
        </w:rPr>
        <w:t xml:space="preserve"> </w:t>
      </w:r>
      <w:r>
        <w:rPr>
          <w:snapToGrid w:val="0"/>
        </w:rPr>
        <w:t>Refer to Map 1 and Map 4 in Section 11, for the location of Parcel A.</w:t>
      </w:r>
    </w:p>
    <w:p w:rsidR="000D1EAB" w:rsidRDefault="000D1EAB" w:rsidP="00AC1023">
      <w:pPr>
        <w:pStyle w:val="ArticleL2"/>
        <w:rPr>
          <w:b w:val="0"/>
          <w:snapToGrid w:val="0"/>
        </w:rPr>
      </w:pPr>
      <w:bookmarkStart w:id="6" w:name="_Toc88126487"/>
      <w:r>
        <w:rPr>
          <w:snapToGrid w:val="0"/>
        </w:rPr>
        <w:t>LAND USE INFORMATION</w:t>
      </w:r>
      <w:bookmarkEnd w:id="6"/>
    </w:p>
    <w:p w:rsidR="000D1EAB" w:rsidRPr="00B26011" w:rsidRDefault="000D1EAB" w:rsidP="00AC1023">
      <w:pPr>
        <w:pStyle w:val="ArticleL3"/>
        <w:numPr>
          <w:ilvl w:val="2"/>
          <w:numId w:val="6"/>
        </w:numPr>
        <w:rPr>
          <w:b w:val="0"/>
        </w:rPr>
      </w:pPr>
      <w:bookmarkStart w:id="7" w:name="_Toc88126488"/>
      <w:r>
        <w:t>Existing Land Uses</w:t>
      </w:r>
      <w:bookmarkEnd w:id="7"/>
    </w:p>
    <w:p w:rsidR="000D1EAB" w:rsidRDefault="0061063D" w:rsidP="00AF11DC">
      <w:pPr>
        <w:pStyle w:val="BodyText"/>
        <w:rPr>
          <w:snapToGrid w:val="0"/>
        </w:rPr>
      </w:pPr>
      <w:r>
        <w:rPr>
          <w:snapToGrid w:val="0"/>
        </w:rPr>
        <w:t>Subparcel</w:t>
      </w:r>
      <w:r w:rsidR="000D1EAB">
        <w:rPr>
          <w:snapToGrid w:val="0"/>
        </w:rPr>
        <w:t xml:space="preserve"> A-</w:t>
      </w:r>
      <w:r w:rsidR="00946437">
        <w:rPr>
          <w:snapToGrid w:val="0"/>
        </w:rPr>
        <w:t>4</w:t>
      </w:r>
      <w:r w:rsidR="000D1EAB">
        <w:rPr>
          <w:snapToGrid w:val="0"/>
        </w:rPr>
        <w:t xml:space="preserve"> </w:t>
      </w:r>
      <w:r w:rsidR="00946437">
        <w:rPr>
          <w:snapToGrid w:val="0"/>
        </w:rPr>
        <w:t>has been</w:t>
      </w:r>
      <w:r w:rsidR="000D1EAB">
        <w:rPr>
          <w:snapToGrid w:val="0"/>
        </w:rPr>
        <w:t xml:space="preserve"> developed as a regional </w:t>
      </w:r>
      <w:r w:rsidR="00DE7F50">
        <w:rPr>
          <w:snapToGrid w:val="0"/>
        </w:rPr>
        <w:t>lifestyle center</w:t>
      </w:r>
      <w:r w:rsidR="000D1EAB">
        <w:rPr>
          <w:snapToGrid w:val="0"/>
        </w:rPr>
        <w:t xml:space="preserve">.  The balance of Parcel A has existing </w:t>
      </w:r>
      <w:r w:rsidR="00AA6E43">
        <w:rPr>
          <w:snapToGrid w:val="0"/>
        </w:rPr>
        <w:t>A</w:t>
      </w:r>
      <w:r w:rsidR="000D1EAB">
        <w:rPr>
          <w:snapToGrid w:val="0"/>
        </w:rPr>
        <w:t xml:space="preserve">gricultural </w:t>
      </w:r>
      <w:r w:rsidR="00AA6E43">
        <w:rPr>
          <w:snapToGrid w:val="0"/>
        </w:rPr>
        <w:t>A</w:t>
      </w:r>
      <w:r w:rsidR="000D1EAB">
        <w:rPr>
          <w:snapToGrid w:val="0"/>
        </w:rPr>
        <w:t>ctivities</w:t>
      </w:r>
      <w:r w:rsidR="00DE7F50">
        <w:rPr>
          <w:snapToGrid w:val="0"/>
        </w:rPr>
        <w:t xml:space="preserve">, </w:t>
      </w:r>
      <w:r w:rsidR="00946437">
        <w:rPr>
          <w:snapToGrid w:val="0"/>
        </w:rPr>
        <w:t xml:space="preserve">office, </w:t>
      </w:r>
      <w:r w:rsidR="00DE7F50">
        <w:rPr>
          <w:snapToGrid w:val="0"/>
        </w:rPr>
        <w:t xml:space="preserve">hospitality, Multi-Family Dwellings and </w:t>
      </w:r>
      <w:r w:rsidR="000D1EAB">
        <w:rPr>
          <w:snapToGrid w:val="0"/>
        </w:rPr>
        <w:t xml:space="preserve">related uses. The existing agricultural uses are to be allowed to continue as legal non-conforming uses within this </w:t>
      </w:r>
      <w:r>
        <w:rPr>
          <w:snapToGrid w:val="0"/>
        </w:rPr>
        <w:t>P</w:t>
      </w:r>
      <w:r w:rsidR="000D1EAB">
        <w:rPr>
          <w:snapToGrid w:val="0"/>
        </w:rPr>
        <w:t>arcel.</w:t>
      </w:r>
    </w:p>
    <w:p w:rsidR="000D1EAB" w:rsidRDefault="000D1EAB" w:rsidP="00AF11DC">
      <w:pPr>
        <w:pStyle w:val="BodyText"/>
        <w:rPr>
          <w:snapToGrid w:val="0"/>
        </w:rPr>
      </w:pPr>
      <w:r>
        <w:rPr>
          <w:snapToGrid w:val="0"/>
        </w:rPr>
        <w:t xml:space="preserve">According to the Mineral Extraction Report prepared by Terracon on December 24, 1998 and the Mineral Extraction Report prepared by Earth Engineering Consultants, Inc. on March 29, 2007, there are no economically viable sand and gravel resources to be extracted from this </w:t>
      </w:r>
      <w:r w:rsidR="0061063D">
        <w:rPr>
          <w:snapToGrid w:val="0"/>
        </w:rPr>
        <w:t>P</w:t>
      </w:r>
      <w:r>
        <w:rPr>
          <w:snapToGrid w:val="0"/>
        </w:rPr>
        <w:t>arcel.</w:t>
      </w:r>
    </w:p>
    <w:p w:rsidR="000D1EAB" w:rsidRDefault="000D1EAB" w:rsidP="00AC1023">
      <w:pPr>
        <w:pStyle w:val="ArticleL3"/>
        <w:rPr>
          <w:b w:val="0"/>
        </w:rPr>
      </w:pPr>
      <w:bookmarkStart w:id="8" w:name="_Toc88126489"/>
      <w:r>
        <w:t>Proposed Land Uses</w:t>
      </w:r>
      <w:bookmarkEnd w:id="8"/>
    </w:p>
    <w:p w:rsidR="000D1EAB" w:rsidRDefault="000D1EAB" w:rsidP="00AF11DC">
      <w:pPr>
        <w:pStyle w:val="BodyText"/>
        <w:rPr>
          <w:snapToGrid w:val="0"/>
        </w:rPr>
      </w:pPr>
      <w:r>
        <w:rPr>
          <w:snapToGrid w:val="0"/>
        </w:rPr>
        <w:t>The land use categories for Parcel A include Institutional/Civic/Public</w:t>
      </w:r>
      <w:r w:rsidR="00DA4F70">
        <w:rPr>
          <w:snapToGrid w:val="0"/>
        </w:rPr>
        <w:t xml:space="preserve"> Uses</w:t>
      </w:r>
      <w:r>
        <w:rPr>
          <w:snapToGrid w:val="0"/>
        </w:rPr>
        <w:t xml:space="preserve">, Light Commercial Uses, Heavy Commercial Uses, Light Industrial Uses, Heavy Industrial Uses (a maximum of 8,100,000 gross square feet of commercial and industrial uses), Mixed Use Village Center, MUN, Residential Uses (not in an MUN) and Parks and Open Space Uses. The total number of permitted Dwelling Units in Parcel A is </w:t>
      </w:r>
      <w:r w:rsidR="00946437">
        <w:rPr>
          <w:snapToGrid w:val="0"/>
        </w:rPr>
        <w:t>6,070</w:t>
      </w:r>
      <w:r w:rsidR="00DE7F50">
        <w:rPr>
          <w:snapToGrid w:val="0"/>
        </w:rPr>
        <w:t>.</w:t>
      </w:r>
    </w:p>
    <w:p w:rsidR="000D1EAB" w:rsidRDefault="000D1EAB" w:rsidP="00AF11DC">
      <w:pPr>
        <w:pStyle w:val="BodyText"/>
        <w:rPr>
          <w:b/>
          <w:bCs/>
          <w:snapToGrid w:val="0"/>
        </w:rPr>
      </w:pPr>
      <w:r>
        <w:rPr>
          <w:snapToGrid w:val="0"/>
        </w:rPr>
        <w:t xml:space="preserve">It is intended that </w:t>
      </w:r>
      <w:r w:rsidR="0061063D">
        <w:rPr>
          <w:snapToGrid w:val="0"/>
        </w:rPr>
        <w:t>Subparcel</w:t>
      </w:r>
      <w:r>
        <w:rPr>
          <w:snapToGrid w:val="0"/>
        </w:rPr>
        <w:t xml:space="preserve">s A-6 and A-7 develop primarily with </w:t>
      </w:r>
      <w:r w:rsidR="00E55D5D">
        <w:rPr>
          <w:snapToGrid w:val="0"/>
        </w:rPr>
        <w:t>R</w:t>
      </w:r>
      <w:r>
        <w:rPr>
          <w:snapToGrid w:val="0"/>
        </w:rPr>
        <w:t xml:space="preserve">esidential </w:t>
      </w:r>
      <w:r w:rsidR="00E55D5D">
        <w:rPr>
          <w:snapToGrid w:val="0"/>
        </w:rPr>
        <w:t>U</w:t>
      </w:r>
      <w:r>
        <w:rPr>
          <w:snapToGrid w:val="0"/>
        </w:rPr>
        <w:t xml:space="preserve">ses and that non-residential uses in such </w:t>
      </w:r>
      <w:r w:rsidR="0061063D">
        <w:rPr>
          <w:snapToGrid w:val="0"/>
        </w:rPr>
        <w:t>Subparcel</w:t>
      </w:r>
      <w:r>
        <w:rPr>
          <w:snapToGrid w:val="0"/>
        </w:rPr>
        <w:t xml:space="preserve">s, although permitted, will be secondary and complementary to the </w:t>
      </w:r>
      <w:r w:rsidR="00E55D5D">
        <w:rPr>
          <w:snapToGrid w:val="0"/>
        </w:rPr>
        <w:t>R</w:t>
      </w:r>
      <w:r>
        <w:rPr>
          <w:snapToGrid w:val="0"/>
        </w:rPr>
        <w:t xml:space="preserve">esidential </w:t>
      </w:r>
      <w:r w:rsidR="00E55D5D">
        <w:rPr>
          <w:snapToGrid w:val="0"/>
        </w:rPr>
        <w:t>U</w:t>
      </w:r>
      <w:r>
        <w:rPr>
          <w:snapToGrid w:val="0"/>
        </w:rPr>
        <w:t>ses.</w:t>
      </w:r>
    </w:p>
    <w:p w:rsidR="000D1EAB" w:rsidRDefault="000D1EAB" w:rsidP="00AF11DC">
      <w:pPr>
        <w:pStyle w:val="BodyText"/>
        <w:rPr>
          <w:snapToGrid w:val="0"/>
          <w:color w:val="000000"/>
        </w:rPr>
      </w:pPr>
      <w:r>
        <w:rPr>
          <w:snapToGrid w:val="0"/>
        </w:rPr>
        <w:t xml:space="preserve">Refer to Section 1.3 for a detailed list of the specific uses within each land use category, and the Land Use Legend on Map 4 in Section 11 for the identification of each land use category as either a Use-by-Right or a Special Review Use. </w:t>
      </w:r>
    </w:p>
    <w:p w:rsidR="000D1EAB" w:rsidRDefault="000D1EAB" w:rsidP="00AF11DC">
      <w:pPr>
        <w:pStyle w:val="BodyText"/>
        <w:rPr>
          <w:snapToGrid w:val="0"/>
        </w:rPr>
      </w:pPr>
      <w:r>
        <w:rPr>
          <w:snapToGrid w:val="0"/>
        </w:rPr>
        <w:t>Section 12 contains the review processes applicable to such uses.  Please refer to Section 12.</w:t>
      </w:r>
      <w:r w:rsidR="00651B46">
        <w:rPr>
          <w:snapToGrid w:val="0"/>
        </w:rPr>
        <w:t>3.3</w:t>
      </w:r>
      <w:r>
        <w:rPr>
          <w:snapToGrid w:val="0"/>
        </w:rPr>
        <w:t xml:space="preserve"> and General Condition No. 12 for information on the ability to increase the number of Dwelling Units.</w:t>
      </w:r>
    </w:p>
    <w:p w:rsidR="000D1EAB" w:rsidRDefault="000D1EAB" w:rsidP="00AC1023">
      <w:pPr>
        <w:pStyle w:val="ArticleL3"/>
        <w:rPr>
          <w:b w:val="0"/>
        </w:rPr>
      </w:pPr>
      <w:bookmarkStart w:id="9" w:name="_Toc88126490"/>
      <w:r>
        <w:t>Density</w:t>
      </w:r>
      <w:bookmarkEnd w:id="9"/>
    </w:p>
    <w:p w:rsidR="000D1EAB" w:rsidRDefault="000D1EAB" w:rsidP="00AF11DC">
      <w:pPr>
        <w:pStyle w:val="BodyText"/>
      </w:pPr>
      <w:r>
        <w:t xml:space="preserve">The maximum density of residential developments in Parcel A is provided </w:t>
      </w:r>
      <w:r w:rsidR="00AB46A4">
        <w:t xml:space="preserve">on Map 4 in Section 11 and </w:t>
      </w:r>
      <w:r>
        <w:t>in Sections 9 and 10.</w:t>
      </w:r>
    </w:p>
    <w:p w:rsidR="000D1EAB" w:rsidRDefault="000D1EAB" w:rsidP="00AF11DC">
      <w:pPr>
        <w:pStyle w:val="BodyText"/>
        <w:rPr>
          <w:b/>
          <w:bCs/>
        </w:rPr>
      </w:pPr>
      <w:r>
        <w:t xml:space="preserve">Density within a 300-foot wide strip along a portion of the north edge of </w:t>
      </w:r>
      <w:r w:rsidR="0061063D">
        <w:t>Subparcel</w:t>
      </w:r>
      <w:r>
        <w:t xml:space="preserve"> A-5 and along the east edge of </w:t>
      </w:r>
      <w:r w:rsidR="0061063D">
        <w:t>Subparcel</w:t>
      </w:r>
      <w:r>
        <w:t xml:space="preserve"> A-5 is limited to </w:t>
      </w:r>
      <w:r w:rsidR="00817D3D">
        <w:t>three</w:t>
      </w:r>
      <w:r>
        <w:t xml:space="preserve"> Dwelling Units per gross acre (see Map 4 in Section 11).  Density within a 300-foot wide strip along a portion of the east edge of </w:t>
      </w:r>
      <w:r w:rsidR="0061063D">
        <w:t>Subparcel</w:t>
      </w:r>
      <w:r>
        <w:t xml:space="preserve"> A-2 is limited to 10 Dwelling Units per gross acre (see Map 4 in Section 11).</w:t>
      </w:r>
    </w:p>
    <w:p w:rsidR="000D1EAB" w:rsidRDefault="000D1EAB" w:rsidP="00AC1023">
      <w:pPr>
        <w:pStyle w:val="ArticleL3"/>
        <w:rPr>
          <w:b w:val="0"/>
        </w:rPr>
      </w:pPr>
      <w:bookmarkStart w:id="10" w:name="_Toc88126491"/>
      <w:r>
        <w:t>Airport Influence Area</w:t>
      </w:r>
      <w:bookmarkEnd w:id="10"/>
    </w:p>
    <w:p w:rsidR="000D1EAB" w:rsidRDefault="000D1EAB" w:rsidP="00AF11DC">
      <w:pPr>
        <w:pStyle w:val="BodyText"/>
        <w:rPr>
          <w:snapToGrid w:val="0"/>
        </w:rPr>
      </w:pPr>
      <w:r>
        <w:rPr>
          <w:snapToGrid w:val="0"/>
        </w:rPr>
        <w:t>Any Special Conditions applicable to development in Parcel A because of its proximity to the Airport are included in the Special Conditions attached as Appendix 2-1 attached to this Section 2.</w:t>
      </w:r>
    </w:p>
    <w:p w:rsidR="000D1EAB" w:rsidRDefault="000D1EAB" w:rsidP="00AC1023">
      <w:pPr>
        <w:pStyle w:val="ArticleL2"/>
        <w:rPr>
          <w:b w:val="0"/>
          <w:snapToGrid w:val="0"/>
        </w:rPr>
      </w:pPr>
      <w:bookmarkStart w:id="11" w:name="_Toc88126492"/>
      <w:r>
        <w:rPr>
          <w:snapToGrid w:val="0"/>
        </w:rPr>
        <w:t>CIRCULATION</w:t>
      </w:r>
      <w:bookmarkEnd w:id="11"/>
    </w:p>
    <w:p w:rsidR="000D1EAB" w:rsidRPr="00B26011" w:rsidRDefault="000D1EAB" w:rsidP="00AC1023">
      <w:pPr>
        <w:pStyle w:val="ArticleL3"/>
        <w:numPr>
          <w:ilvl w:val="2"/>
          <w:numId w:val="7"/>
        </w:numPr>
      </w:pPr>
      <w:bookmarkStart w:id="12" w:name="_Toc88126493"/>
      <w:r>
        <w:t>Site Access</w:t>
      </w:r>
      <w:bookmarkEnd w:id="12"/>
    </w:p>
    <w:p w:rsidR="000D1EAB" w:rsidRDefault="000D1EAB" w:rsidP="00AF11DC">
      <w:pPr>
        <w:pStyle w:val="BodyText"/>
        <w:rPr>
          <w:snapToGrid w:val="0"/>
        </w:rPr>
      </w:pPr>
      <w:r>
        <w:rPr>
          <w:snapToGrid w:val="0"/>
        </w:rPr>
        <w:t xml:space="preserve">Subject to City approval of specific Development Projects, primary access to the Subparcels of Parcel A will be from US 34.  Additional access points will be from </w:t>
      </w:r>
      <w:r w:rsidR="00DE7F50">
        <w:rPr>
          <w:snapToGrid w:val="0"/>
        </w:rPr>
        <w:t>County Road 3</w:t>
      </w:r>
      <w:r>
        <w:rPr>
          <w:snapToGrid w:val="0"/>
        </w:rPr>
        <w:t xml:space="preserve"> on the east and from Crossroads Boulevard on the north.  There will also potentially be a future access from the west via the extension of Kendall Parkway under I-25.</w:t>
      </w:r>
    </w:p>
    <w:p w:rsidR="000D1EAB" w:rsidRDefault="000D1EAB" w:rsidP="00AC1023">
      <w:pPr>
        <w:pStyle w:val="ArticleL3"/>
        <w:rPr>
          <w:b w:val="0"/>
        </w:rPr>
      </w:pPr>
      <w:bookmarkStart w:id="13" w:name="_Toc88126494"/>
      <w:r>
        <w:t>Internal Circulation</w:t>
      </w:r>
      <w:bookmarkEnd w:id="13"/>
    </w:p>
    <w:p w:rsidR="000D1EAB" w:rsidRDefault="000D1EAB" w:rsidP="00AF11DC">
      <w:pPr>
        <w:pStyle w:val="BodyText"/>
        <w:rPr>
          <w:snapToGrid w:val="0"/>
        </w:rPr>
      </w:pPr>
      <w:r>
        <w:rPr>
          <w:snapToGrid w:val="0"/>
        </w:rPr>
        <w:t>An integrated network and hierarchy of transportation ways will be provided for automobiles, pedestrians, bicyclists, and public transportation.</w:t>
      </w:r>
      <w:r>
        <w:rPr>
          <w:rFonts w:ascii="Arial" w:hAnsi="Arial"/>
          <w:sz w:val="16"/>
          <w:szCs w:val="16"/>
        </w:rPr>
        <w:t xml:space="preserve"> </w:t>
      </w:r>
    </w:p>
    <w:p w:rsidR="000D1EAB" w:rsidRDefault="000D1EAB" w:rsidP="00AF11DC">
      <w:pPr>
        <w:pStyle w:val="BodyText"/>
        <w:rPr>
          <w:snapToGrid w:val="0"/>
        </w:rPr>
      </w:pPr>
      <w:r>
        <w:rPr>
          <w:snapToGrid w:val="0"/>
        </w:rPr>
        <w:t xml:space="preserve">Centerra Parkway is the primary access/circulation road between US 34 (East Eisenhower Boulevard) and Crossroads Boulevard that will provide access to development sites within the </w:t>
      </w:r>
      <w:r w:rsidR="0061063D">
        <w:rPr>
          <w:snapToGrid w:val="0"/>
        </w:rPr>
        <w:t>P</w:t>
      </w:r>
      <w:r>
        <w:rPr>
          <w:snapToGrid w:val="0"/>
        </w:rPr>
        <w:t>arcel.  Additional access points and roadways are anticipated to accommodate efficient and safe traffic flow.</w:t>
      </w:r>
    </w:p>
    <w:p w:rsidR="000D1EAB" w:rsidRDefault="000D1EAB" w:rsidP="00AF11DC">
      <w:pPr>
        <w:pStyle w:val="BodyText"/>
        <w:rPr>
          <w:snapToGrid w:val="0"/>
        </w:rPr>
      </w:pPr>
      <w:r>
        <w:rPr>
          <w:snapToGrid w:val="0"/>
        </w:rPr>
        <w:t>Refer to Section 7</w:t>
      </w:r>
      <w:r>
        <w:rPr>
          <w:snapToGrid w:val="0"/>
          <w:color w:val="FF0000"/>
        </w:rPr>
        <w:t xml:space="preserve"> </w:t>
      </w:r>
      <w:r>
        <w:rPr>
          <w:snapToGrid w:val="0"/>
        </w:rPr>
        <w:t xml:space="preserve">for detailed information on access, circulation, and parking.  </w:t>
      </w:r>
    </w:p>
    <w:p w:rsidR="000D1EAB" w:rsidRDefault="000D1EAB" w:rsidP="00AF11DC">
      <w:pPr>
        <w:pStyle w:val="BodyText"/>
        <w:rPr>
          <w:snapToGrid w:val="0"/>
        </w:rPr>
      </w:pPr>
      <w:r>
        <w:rPr>
          <w:snapToGrid w:val="0"/>
        </w:rPr>
        <w:t>The Conceptual Amenity Map (Map 2 in Section 11) illustrates a proposed, conceptual trail system.  Although not all buffer and open space areas have trails shown on this map, they will be allowed if determined appropriate in the applicable ESAR.</w:t>
      </w:r>
      <w:r>
        <w:rPr>
          <w:rFonts w:ascii="Arial" w:hAnsi="Arial"/>
          <w:sz w:val="16"/>
          <w:szCs w:val="16"/>
        </w:rPr>
        <w:t xml:space="preserve"> </w:t>
      </w:r>
    </w:p>
    <w:p w:rsidR="000D1EAB" w:rsidRDefault="000D1EAB" w:rsidP="00AF11DC">
      <w:pPr>
        <w:pStyle w:val="BodyText"/>
        <w:rPr>
          <w:snapToGrid w:val="0"/>
        </w:rPr>
      </w:pPr>
      <w:r>
        <w:rPr>
          <w:snapToGrid w:val="0"/>
        </w:rPr>
        <w:t xml:space="preserve">Details on any proposed trail system shall be provided with applications for </w:t>
      </w:r>
      <w:r w:rsidR="006C13C2">
        <w:rPr>
          <w:snapToGrid w:val="0"/>
        </w:rPr>
        <w:t xml:space="preserve">GDP </w:t>
      </w:r>
      <w:r w:rsidR="00E972FD">
        <w:rPr>
          <w:snapToGrid w:val="0"/>
        </w:rPr>
        <w:t>Sketch</w:t>
      </w:r>
      <w:r>
        <w:rPr>
          <w:snapToGrid w:val="0"/>
        </w:rPr>
        <w:t xml:space="preserve"> Plats and/or </w:t>
      </w:r>
      <w:r w:rsidR="006C13C2">
        <w:rPr>
          <w:snapToGrid w:val="0"/>
        </w:rPr>
        <w:t xml:space="preserve">GDP </w:t>
      </w:r>
      <w:r>
        <w:rPr>
          <w:snapToGrid w:val="0"/>
        </w:rPr>
        <w:t xml:space="preserve">Final Plat review or applications for a </w:t>
      </w:r>
      <w:r w:rsidR="00697BB7">
        <w:rPr>
          <w:snapToGrid w:val="0"/>
        </w:rPr>
        <w:t>Site Development Plan</w:t>
      </w:r>
      <w:r>
        <w:rPr>
          <w:snapToGrid w:val="0"/>
        </w:rPr>
        <w:t>.  Development within Subparcel A-1 shall comply with the intent of the US 34 Corridor Plan</w:t>
      </w:r>
      <w:r w:rsidR="00946437">
        <w:rPr>
          <w:snapToGrid w:val="0"/>
        </w:rPr>
        <w:t xml:space="preserve"> attached as Appendix </w:t>
      </w:r>
      <w:r w:rsidR="00DE0B8D">
        <w:rPr>
          <w:snapToGrid w:val="0"/>
        </w:rPr>
        <w:t xml:space="preserve">E of the GDP. </w:t>
      </w:r>
      <w:r>
        <w:rPr>
          <w:snapToGrid w:val="0"/>
        </w:rPr>
        <w:t>Refer to Section 6.9 for additional view corridor guidelines.</w:t>
      </w:r>
    </w:p>
    <w:p w:rsidR="000D1EAB" w:rsidRDefault="000D1EAB" w:rsidP="00AC1023">
      <w:pPr>
        <w:pStyle w:val="ArticleL3"/>
        <w:rPr>
          <w:b w:val="0"/>
        </w:rPr>
      </w:pPr>
      <w:bookmarkStart w:id="14" w:name="_Toc88126495"/>
      <w:r>
        <w:t>Standards</w:t>
      </w:r>
      <w:bookmarkEnd w:id="14"/>
    </w:p>
    <w:p w:rsidR="000D1EAB" w:rsidRDefault="000D1EAB" w:rsidP="00AF11DC">
      <w:pPr>
        <w:pStyle w:val="BodyText"/>
        <w:rPr>
          <w:snapToGrid w:val="0"/>
        </w:rPr>
      </w:pPr>
      <w:r>
        <w:rPr>
          <w:snapToGrid w:val="0"/>
        </w:rPr>
        <w:t xml:space="preserve">The </w:t>
      </w:r>
      <w:r w:rsidR="00AE0CE0">
        <w:rPr>
          <w:snapToGrid w:val="0"/>
        </w:rPr>
        <w:t>S</w:t>
      </w:r>
      <w:r>
        <w:rPr>
          <w:snapToGrid w:val="0"/>
        </w:rPr>
        <w:t>treet network for Parcel A is intended to develop as recommended in the Transportation Plan.</w:t>
      </w:r>
    </w:p>
    <w:p w:rsidR="000D1EAB" w:rsidRDefault="000D1EAB" w:rsidP="00AF11DC">
      <w:pPr>
        <w:pStyle w:val="BodyText"/>
        <w:rPr>
          <w:snapToGrid w:val="0"/>
        </w:rPr>
      </w:pPr>
      <w:r>
        <w:t xml:space="preserve">All </w:t>
      </w:r>
      <w:r w:rsidR="00AE0CE0">
        <w:t>S</w:t>
      </w:r>
      <w:r>
        <w:t xml:space="preserve">treets shall comply with LCUASS as described in Section 7 and General Condition No. 21 except for those </w:t>
      </w:r>
      <w:r w:rsidR="00AE0CE0">
        <w:t>S</w:t>
      </w:r>
      <w:r>
        <w:t>treet cross sections shown in Section 11 Map 8 of this GDP</w:t>
      </w:r>
      <w:r w:rsidR="00DE7F50">
        <w:t xml:space="preserve">, or as may be agreed to in writing by the </w:t>
      </w:r>
      <w:r w:rsidR="00893989">
        <w:t>Developer and the City</w:t>
      </w:r>
      <w:r>
        <w:t>.</w:t>
      </w:r>
      <w:r>
        <w:rPr>
          <w:snapToGrid w:val="0"/>
        </w:rPr>
        <w:t xml:space="preserve"> </w:t>
      </w:r>
    </w:p>
    <w:p w:rsidR="000D1EAB" w:rsidRDefault="000D1EAB" w:rsidP="00AC1023">
      <w:pPr>
        <w:pStyle w:val="ArticleL2"/>
        <w:rPr>
          <w:b w:val="0"/>
          <w:snapToGrid w:val="0"/>
        </w:rPr>
      </w:pPr>
      <w:bookmarkStart w:id="15" w:name="_Toc88126496"/>
      <w:r>
        <w:rPr>
          <w:snapToGrid w:val="0"/>
        </w:rPr>
        <w:t>PUBLIC AND PRIVATE UTILITIES</w:t>
      </w:r>
      <w:bookmarkEnd w:id="15"/>
    </w:p>
    <w:p w:rsidR="000D1EAB" w:rsidRPr="00604150" w:rsidRDefault="000D1EAB" w:rsidP="00AF11DC">
      <w:pPr>
        <w:pStyle w:val="BodyText"/>
      </w:pPr>
      <w:r w:rsidRPr="00604150">
        <w:t xml:space="preserve">The following subsections indicate the utility providers currently available to serve Parcel A.  The </w:t>
      </w:r>
      <w:r w:rsidRPr="00604150">
        <w:rPr>
          <w:color w:val="000000"/>
        </w:rPr>
        <w:t>provision</w:t>
      </w:r>
      <w:r w:rsidRPr="00604150">
        <w:t xml:space="preserve"> of services by other utility providers will be determined at the time of development.</w:t>
      </w:r>
    </w:p>
    <w:p w:rsidR="000D1EAB" w:rsidRPr="00B26011" w:rsidRDefault="000D1EAB" w:rsidP="00AC1023">
      <w:pPr>
        <w:pStyle w:val="ArticleL3"/>
        <w:numPr>
          <w:ilvl w:val="2"/>
          <w:numId w:val="8"/>
        </w:numPr>
        <w:rPr>
          <w:b w:val="0"/>
        </w:rPr>
      </w:pPr>
      <w:bookmarkStart w:id="16" w:name="_Toc88126497"/>
      <w:r>
        <w:t xml:space="preserve">Water and </w:t>
      </w:r>
      <w:bookmarkEnd w:id="16"/>
      <w:r w:rsidR="00822CD3">
        <w:t>Wastewater</w:t>
      </w:r>
    </w:p>
    <w:p w:rsidR="000D1EAB" w:rsidRDefault="000D1EAB" w:rsidP="00AF11DC">
      <w:pPr>
        <w:pStyle w:val="BodyText"/>
        <w:rPr>
          <w:snapToGrid w:val="0"/>
        </w:rPr>
      </w:pPr>
      <w:r>
        <w:rPr>
          <w:snapToGrid w:val="0"/>
        </w:rPr>
        <w:t xml:space="preserve">The City will provide water and </w:t>
      </w:r>
      <w:r w:rsidR="00946437">
        <w:rPr>
          <w:snapToGrid w:val="0"/>
        </w:rPr>
        <w:t>wastewater</w:t>
      </w:r>
      <w:r>
        <w:rPr>
          <w:snapToGrid w:val="0"/>
        </w:rPr>
        <w:t xml:space="preserve"> service.  Water line extensions to serve this property are located under I-25 </w:t>
      </w:r>
      <w:r w:rsidR="00697BB7">
        <w:rPr>
          <w:snapToGrid w:val="0"/>
        </w:rPr>
        <w:t>at</w:t>
      </w:r>
      <w:r>
        <w:rPr>
          <w:snapToGrid w:val="0"/>
        </w:rPr>
        <w:t xml:space="preserve"> the proposed Kendall Parkway and at McWhinney Boulevard.  These water line extensions continue east along Sky Pond Drive and Kendall Parkway, then north in Centerra Parkway to the north line of Parcel A.  The water line system then extends east and north to the City’s elevated tank located south of Crossroads Boulevard. </w:t>
      </w:r>
      <w:r w:rsidR="00946437">
        <w:rPr>
          <w:snapToGrid w:val="0"/>
        </w:rPr>
        <w:t>Wastewater</w:t>
      </w:r>
      <w:r>
        <w:rPr>
          <w:snapToGrid w:val="0"/>
        </w:rPr>
        <w:t xml:space="preserve"> service is provided by a combination of a gravity system in conjunction with a lift station.  A </w:t>
      </w:r>
      <w:r w:rsidR="005771B5">
        <w:rPr>
          <w:snapToGrid w:val="0"/>
        </w:rPr>
        <w:t>wastewater</w:t>
      </w:r>
      <w:r>
        <w:rPr>
          <w:snapToGrid w:val="0"/>
        </w:rPr>
        <w:t xml:space="preserve"> trunk main </w:t>
      </w:r>
      <w:r w:rsidR="00946437">
        <w:rPr>
          <w:snapToGrid w:val="0"/>
        </w:rPr>
        <w:t>is under</w:t>
      </w:r>
      <w:r>
        <w:rPr>
          <w:snapToGrid w:val="0"/>
        </w:rPr>
        <w:t xml:space="preserve"> I-25 just north of The Greeley and Loveland Irrigation Canal crossing.  This main then runs north in Centerra Parkway.  A lift station and gravity sewer will provide service to areas along US 34 and areas east of Centerra Parkway and north of the Union Pacific Railroad.  Details of services will be worked out at time of preliminary and/or final development plan or at the time of application for a building permit. </w:t>
      </w:r>
    </w:p>
    <w:p w:rsidR="000D1EAB" w:rsidRDefault="000D1EAB" w:rsidP="00AC1023">
      <w:pPr>
        <w:pStyle w:val="ArticleL3"/>
        <w:rPr>
          <w:b w:val="0"/>
        </w:rPr>
      </w:pPr>
      <w:bookmarkStart w:id="17" w:name="_Toc88126498"/>
      <w:r>
        <w:t>Storm Drainage</w:t>
      </w:r>
      <w:bookmarkEnd w:id="17"/>
    </w:p>
    <w:p w:rsidR="000D1EAB" w:rsidRDefault="000D1EAB" w:rsidP="00AF11DC">
      <w:pPr>
        <w:pStyle w:val="BodyText"/>
        <w:rPr>
          <w:snapToGrid w:val="0"/>
        </w:rPr>
      </w:pPr>
      <w:r>
        <w:rPr>
          <w:snapToGrid w:val="0"/>
        </w:rPr>
        <w:t>Detention shall either be provided on individual sites or in regional detention ponds in accordance with the East I-25 Basin Master Drainage Plan or the City’s Storm Drainage Master Plan</w:t>
      </w:r>
      <w:r w:rsidR="00946437">
        <w:rPr>
          <w:snapToGrid w:val="0"/>
        </w:rPr>
        <w:t>, as updated</w:t>
      </w:r>
      <w:r>
        <w:rPr>
          <w:snapToGrid w:val="0"/>
        </w:rPr>
        <w:t xml:space="preserve">. </w:t>
      </w:r>
    </w:p>
    <w:p w:rsidR="000D1EAB" w:rsidRDefault="000D1EAB" w:rsidP="00AC1023">
      <w:pPr>
        <w:pStyle w:val="ArticleL3"/>
        <w:rPr>
          <w:b w:val="0"/>
        </w:rPr>
      </w:pPr>
      <w:bookmarkStart w:id="18" w:name="_Toc88126499"/>
      <w:r>
        <w:t>Electric</w:t>
      </w:r>
      <w:bookmarkEnd w:id="18"/>
    </w:p>
    <w:p w:rsidR="000D1EAB" w:rsidRDefault="000D1EAB" w:rsidP="00AF11DC">
      <w:pPr>
        <w:pStyle w:val="BodyText"/>
        <w:rPr>
          <w:snapToGrid w:val="0"/>
        </w:rPr>
      </w:pPr>
      <w:r>
        <w:rPr>
          <w:snapToGrid w:val="0"/>
        </w:rPr>
        <w:t xml:space="preserve">The City’s Water and Power Department will provide electricity.  A 600 amp underground feeder is located along the north side of US 34, and a 200 amp underground feeder is located at the southern boundary of the Crossroads Business Park. </w:t>
      </w:r>
    </w:p>
    <w:p w:rsidR="000D1EAB" w:rsidRDefault="000D1EAB" w:rsidP="00AF11DC">
      <w:pPr>
        <w:pStyle w:val="BodyText"/>
        <w:rPr>
          <w:snapToGrid w:val="0"/>
        </w:rPr>
      </w:pPr>
      <w:r>
        <w:rPr>
          <w:snapToGrid w:val="0"/>
        </w:rPr>
        <w:t xml:space="preserve">In the event that electric power for construction is not be available, generators will have to be used for construction power.  Also, an engineering deposit in the then current amount, site/utility plans, an electrical one-line drawing and construction drawings </w:t>
      </w:r>
      <w:r w:rsidR="00C94147">
        <w:rPr>
          <w:snapToGrid w:val="0"/>
        </w:rPr>
        <w:t>must</w:t>
      </w:r>
      <w:r>
        <w:rPr>
          <w:snapToGrid w:val="0"/>
        </w:rPr>
        <w:t xml:space="preserve"> be submitted to the Water and Power Department for the design of the underground electric extension to the </w:t>
      </w:r>
      <w:r w:rsidR="00AA6E43">
        <w:rPr>
          <w:snapToGrid w:val="0"/>
        </w:rPr>
        <w:t>B</w:t>
      </w:r>
      <w:r>
        <w:rPr>
          <w:snapToGrid w:val="0"/>
        </w:rPr>
        <w:t>uilding.</w:t>
      </w:r>
    </w:p>
    <w:p w:rsidR="000D1EAB" w:rsidRDefault="000D1EAB" w:rsidP="00AC1023">
      <w:pPr>
        <w:pStyle w:val="ArticleL3"/>
        <w:rPr>
          <w:b w:val="0"/>
        </w:rPr>
      </w:pPr>
      <w:bookmarkStart w:id="19" w:name="_Toc88126500"/>
      <w:r>
        <w:t>Natural Gas</w:t>
      </w:r>
      <w:bookmarkEnd w:id="19"/>
    </w:p>
    <w:p w:rsidR="000D1EAB" w:rsidRDefault="000D1EAB" w:rsidP="00AF11DC">
      <w:pPr>
        <w:pStyle w:val="BodyText"/>
        <w:rPr>
          <w:snapToGrid w:val="0"/>
        </w:rPr>
      </w:pPr>
      <w:r>
        <w:rPr>
          <w:snapToGrid w:val="0"/>
        </w:rPr>
        <w:t>It is presently anticipated that Xcel Energy Company will provide natural gas.</w:t>
      </w:r>
    </w:p>
    <w:p w:rsidR="000D1EAB" w:rsidRDefault="000D1EAB" w:rsidP="00AC1023">
      <w:pPr>
        <w:pStyle w:val="ArticleL3"/>
        <w:rPr>
          <w:b w:val="0"/>
        </w:rPr>
      </w:pPr>
      <w:bookmarkStart w:id="20" w:name="_Toc88126501"/>
      <w:r>
        <w:t>Telephone</w:t>
      </w:r>
      <w:bookmarkEnd w:id="20"/>
    </w:p>
    <w:p w:rsidR="000D1EAB" w:rsidRDefault="000D1EAB" w:rsidP="00AF11DC">
      <w:pPr>
        <w:pStyle w:val="BodyText"/>
        <w:rPr>
          <w:snapToGrid w:val="0"/>
        </w:rPr>
      </w:pPr>
      <w:r>
        <w:rPr>
          <w:snapToGrid w:val="0"/>
        </w:rPr>
        <w:t xml:space="preserve">It is presently anticipated that </w:t>
      </w:r>
      <w:bookmarkStart w:id="21" w:name="_Hlk140132816"/>
      <w:r w:rsidR="00946437">
        <w:rPr>
          <w:snapToGrid w:val="0"/>
        </w:rPr>
        <w:t>Century</w:t>
      </w:r>
      <w:r w:rsidR="009D27A1">
        <w:rPr>
          <w:snapToGrid w:val="0"/>
        </w:rPr>
        <w:t>L</w:t>
      </w:r>
      <w:r w:rsidR="00946437">
        <w:rPr>
          <w:snapToGrid w:val="0"/>
        </w:rPr>
        <w:t xml:space="preserve">ink, or other City-approved franchise, </w:t>
      </w:r>
      <w:bookmarkEnd w:id="21"/>
      <w:r>
        <w:rPr>
          <w:snapToGrid w:val="0"/>
        </w:rPr>
        <w:t xml:space="preserve">will provide telephone and telecommunications services. </w:t>
      </w:r>
    </w:p>
    <w:p w:rsidR="000D1EAB" w:rsidRDefault="000D1EAB" w:rsidP="00AC1023">
      <w:pPr>
        <w:pStyle w:val="ArticleL3"/>
        <w:rPr>
          <w:b w:val="0"/>
        </w:rPr>
      </w:pPr>
      <w:bookmarkStart w:id="22" w:name="_Toc88126502"/>
      <w:r>
        <w:t>Irrigation Ditches</w:t>
      </w:r>
      <w:bookmarkEnd w:id="22"/>
    </w:p>
    <w:p w:rsidR="000D1EAB" w:rsidRDefault="000D1EAB" w:rsidP="00AF11DC">
      <w:pPr>
        <w:pStyle w:val="BodyText"/>
        <w:rPr>
          <w:snapToGrid w:val="0"/>
        </w:rPr>
      </w:pPr>
      <w:r>
        <w:rPr>
          <w:snapToGrid w:val="0"/>
        </w:rPr>
        <w:t xml:space="preserve">There are two existing irrigation ditches on the property, the Farmers Ditch and The Greeley and Loveland Irrigation Canal.  These existing irrigation ditches will be maintained in place, boxed, lined or re-aligned as necessary.  If any realignment or physical change is proposed in the ditch or improvement is proposed to any portion of an irrigation ditch, the ditch company will be contacted for approval.  A copy of a letter from the ditch company shall be submitted to the City prior to any approval that directly impacts the ditch.  Irrigation ditches may be used as a raw water supply for irrigation of </w:t>
      </w:r>
      <w:r w:rsidR="00DA4F70">
        <w:rPr>
          <w:snapToGrid w:val="0"/>
        </w:rPr>
        <w:t>O</w:t>
      </w:r>
      <w:r>
        <w:rPr>
          <w:snapToGrid w:val="0"/>
        </w:rPr>
        <w:t xml:space="preserve">pen </w:t>
      </w:r>
      <w:r w:rsidR="00DA4F70">
        <w:rPr>
          <w:snapToGrid w:val="0"/>
        </w:rPr>
        <w:t>S</w:t>
      </w:r>
      <w:r>
        <w:rPr>
          <w:snapToGrid w:val="0"/>
        </w:rPr>
        <w:t>pace areas.</w:t>
      </w:r>
    </w:p>
    <w:p w:rsidR="000D1EAB" w:rsidRDefault="000D1EAB" w:rsidP="00AC1023">
      <w:pPr>
        <w:pStyle w:val="ArticleL3"/>
        <w:rPr>
          <w:b w:val="0"/>
        </w:rPr>
      </w:pPr>
      <w:bookmarkStart w:id="23" w:name="_Toc88126503"/>
      <w:r>
        <w:t>Railroads</w:t>
      </w:r>
      <w:bookmarkEnd w:id="23"/>
    </w:p>
    <w:p w:rsidR="000D1EAB" w:rsidRDefault="000D1EAB" w:rsidP="00AF11DC">
      <w:pPr>
        <w:pStyle w:val="BodyText"/>
        <w:rPr>
          <w:snapToGrid w:val="0"/>
        </w:rPr>
      </w:pPr>
      <w:r>
        <w:rPr>
          <w:snapToGrid w:val="0"/>
        </w:rPr>
        <w:t xml:space="preserve">The Union Pacific Railroad tracks run through Parcel A roughly from the northwest corner of the site to the southeast corner of the site (see Map 4 in Section 11).  In order to mitigate railroad noise and vibration, the Applicant shall provide a bufferyard between Buildings for residential occupancy on </w:t>
      </w:r>
      <w:r w:rsidR="002A0C0C">
        <w:rPr>
          <w:snapToGrid w:val="0"/>
        </w:rPr>
        <w:t>L</w:t>
      </w:r>
      <w:r>
        <w:rPr>
          <w:snapToGrid w:val="0"/>
        </w:rPr>
        <w:t xml:space="preserve">ots in Parcel A and the edge of the railroad </w:t>
      </w:r>
      <w:r w:rsidR="00210725">
        <w:rPr>
          <w:snapToGrid w:val="0"/>
        </w:rPr>
        <w:t>R</w:t>
      </w:r>
      <w:r>
        <w:rPr>
          <w:snapToGrid w:val="0"/>
        </w:rPr>
        <w:t>ight-of-</w:t>
      </w:r>
      <w:r w:rsidR="00210725">
        <w:rPr>
          <w:snapToGrid w:val="0"/>
        </w:rPr>
        <w:t>W</w:t>
      </w:r>
      <w:r>
        <w:rPr>
          <w:snapToGrid w:val="0"/>
        </w:rPr>
        <w:t>ay in accordance with the requirements set forth in Section 15, Appendix A of the GDP.  See also Special Condition No</w:t>
      </w:r>
      <w:r w:rsidR="00946437">
        <w:rPr>
          <w:snapToGrid w:val="0"/>
        </w:rPr>
        <w:t>s</w:t>
      </w:r>
      <w:r>
        <w:rPr>
          <w:snapToGrid w:val="0"/>
        </w:rPr>
        <w:t xml:space="preserve">. </w:t>
      </w:r>
      <w:r w:rsidR="00946437">
        <w:rPr>
          <w:snapToGrid w:val="0"/>
        </w:rPr>
        <w:t xml:space="preserve">17 and </w:t>
      </w:r>
      <w:r>
        <w:rPr>
          <w:snapToGrid w:val="0"/>
        </w:rPr>
        <w:t xml:space="preserve">18 in Appendix 2-1.  </w:t>
      </w:r>
    </w:p>
    <w:p w:rsidR="000D1EAB" w:rsidRDefault="000D1EAB" w:rsidP="00AC1023">
      <w:pPr>
        <w:pStyle w:val="ArticleL2"/>
        <w:rPr>
          <w:b w:val="0"/>
          <w:snapToGrid w:val="0"/>
        </w:rPr>
      </w:pPr>
      <w:bookmarkStart w:id="24" w:name="_Toc88126504"/>
      <w:r>
        <w:rPr>
          <w:snapToGrid w:val="0"/>
        </w:rPr>
        <w:t>NATURAL AREAS</w:t>
      </w:r>
      <w:bookmarkEnd w:id="24"/>
    </w:p>
    <w:p w:rsidR="000D1EAB" w:rsidRDefault="000D1EAB" w:rsidP="00AF11DC">
      <w:pPr>
        <w:pStyle w:val="BodyText"/>
        <w:rPr>
          <w:snapToGrid w:val="0"/>
        </w:rPr>
      </w:pPr>
      <w:r>
        <w:rPr>
          <w:snapToGrid w:val="0"/>
        </w:rPr>
        <w:t>Any Environmentally Sensitive Areas within Parcel A have been identified in an ESAR.  The ESARs applicable to Parcel A are provided in Section 14 of the GDP.</w:t>
      </w:r>
    </w:p>
    <w:p w:rsidR="000D1EAB" w:rsidRDefault="000D1EAB" w:rsidP="00AF11DC">
      <w:pPr>
        <w:pStyle w:val="BodyText"/>
        <w:rPr>
          <w:snapToGrid w:val="0"/>
        </w:rPr>
      </w:pPr>
      <w:r>
        <w:rPr>
          <w:snapToGrid w:val="0"/>
        </w:rPr>
        <w:t xml:space="preserve">For </w:t>
      </w:r>
      <w:r w:rsidR="0061063D">
        <w:rPr>
          <w:snapToGrid w:val="0"/>
        </w:rPr>
        <w:t>Subparcel</w:t>
      </w:r>
      <w:r>
        <w:rPr>
          <w:snapToGrid w:val="0"/>
        </w:rPr>
        <w:t xml:space="preserve">s A-1 and A-4, please refer to the ESAR prepared by Ecological Resource Consultants dated July 18, 2003 and revised November 20, 2003.  Please refer to the ESAR prepared by FlyWater Consulting, Inc. dated October 11, 2007 for the southeast portion of </w:t>
      </w:r>
      <w:r w:rsidR="0061063D">
        <w:rPr>
          <w:snapToGrid w:val="0"/>
        </w:rPr>
        <w:t>Subparcel</w:t>
      </w:r>
      <w:r>
        <w:rPr>
          <w:snapToGrid w:val="0"/>
        </w:rPr>
        <w:t xml:space="preserve"> A-1, which is known as the Central Parcel of the Grange Addition.</w:t>
      </w:r>
    </w:p>
    <w:p w:rsidR="000D1EAB" w:rsidRDefault="000D1EAB" w:rsidP="00AF11DC">
      <w:pPr>
        <w:pStyle w:val="BodyText"/>
        <w:rPr>
          <w:snapToGrid w:val="0"/>
        </w:rPr>
      </w:pPr>
      <w:r>
        <w:rPr>
          <w:snapToGrid w:val="0"/>
        </w:rPr>
        <w:t xml:space="preserve">For </w:t>
      </w:r>
      <w:r w:rsidR="0061063D">
        <w:rPr>
          <w:snapToGrid w:val="0"/>
        </w:rPr>
        <w:t>Subparcel</w:t>
      </w:r>
      <w:r>
        <w:rPr>
          <w:snapToGrid w:val="0"/>
        </w:rPr>
        <w:t>s A-2, A3 and A-8, please refer to the ESAR prepared by Cedar Creek Associates dated January, 1999.</w:t>
      </w:r>
    </w:p>
    <w:p w:rsidR="000D1EAB" w:rsidRDefault="000D1EAB" w:rsidP="00AF11DC">
      <w:pPr>
        <w:pStyle w:val="BodyText"/>
        <w:rPr>
          <w:snapToGrid w:val="0"/>
        </w:rPr>
      </w:pPr>
      <w:r>
        <w:rPr>
          <w:snapToGrid w:val="0"/>
        </w:rPr>
        <w:t xml:space="preserve">For </w:t>
      </w:r>
      <w:r w:rsidR="0061063D">
        <w:rPr>
          <w:snapToGrid w:val="0"/>
        </w:rPr>
        <w:t>Subparcel</w:t>
      </w:r>
      <w:r>
        <w:rPr>
          <w:snapToGrid w:val="0"/>
        </w:rPr>
        <w:t xml:space="preserve"> A-5, please refer to the ESAR prepared by Ecological Resource Consultants dated June 8, 2004.</w:t>
      </w:r>
    </w:p>
    <w:p w:rsidR="000D1EAB" w:rsidRDefault="000D1EAB" w:rsidP="00AF11DC">
      <w:pPr>
        <w:pStyle w:val="BodyText"/>
        <w:rPr>
          <w:snapToGrid w:val="0"/>
        </w:rPr>
      </w:pPr>
      <w:r>
        <w:rPr>
          <w:snapToGrid w:val="0"/>
        </w:rPr>
        <w:t xml:space="preserve">For </w:t>
      </w:r>
      <w:r w:rsidR="0061063D">
        <w:rPr>
          <w:snapToGrid w:val="0"/>
        </w:rPr>
        <w:t>Subparcel</w:t>
      </w:r>
      <w:r>
        <w:rPr>
          <w:snapToGrid w:val="0"/>
        </w:rPr>
        <w:t>s A-6 and A-7, please refer to the ESAR prepared by FlyWater Consulting, Inc. dated October 11, 2007.</w:t>
      </w:r>
    </w:p>
    <w:p w:rsidR="000D1EAB" w:rsidRDefault="000D1EAB" w:rsidP="00AF11DC">
      <w:pPr>
        <w:pStyle w:val="BodyText"/>
        <w:rPr>
          <w:snapToGrid w:val="0"/>
        </w:rPr>
      </w:pPr>
      <w:r>
        <w:rPr>
          <w:snapToGrid w:val="0"/>
        </w:rPr>
        <w:t xml:space="preserve">A unique feature within Parcel A is the drainage area at the southwest corner which has been identified as a high quality habitat.  A mixture of wetlands and uplands exists within this area and includes large, mature cottonwoods.  This area will be protected from development within this </w:t>
      </w:r>
      <w:r w:rsidR="0061063D">
        <w:rPr>
          <w:snapToGrid w:val="0"/>
        </w:rPr>
        <w:t>P</w:t>
      </w:r>
      <w:r>
        <w:rPr>
          <w:snapToGrid w:val="0"/>
        </w:rPr>
        <w:t>arcel</w:t>
      </w:r>
      <w:r w:rsidR="00946437">
        <w:rPr>
          <w:snapToGrid w:val="0"/>
        </w:rPr>
        <w:t xml:space="preserve"> as required by the appropriate ESAR</w:t>
      </w:r>
      <w:r>
        <w:rPr>
          <w:snapToGrid w:val="0"/>
        </w:rPr>
        <w:t>.</w:t>
      </w:r>
      <w:r>
        <w:rPr>
          <w:snapToGrid w:val="0"/>
          <w:color w:val="FF0000"/>
        </w:rPr>
        <w:t xml:space="preserve">  </w:t>
      </w:r>
      <w:r>
        <w:rPr>
          <w:snapToGrid w:val="0"/>
        </w:rPr>
        <w:t>The mature cottonwoods will also be preserved.</w:t>
      </w:r>
    </w:p>
    <w:p w:rsidR="000D1EAB" w:rsidRDefault="000D1EAB" w:rsidP="00AC1023">
      <w:pPr>
        <w:pStyle w:val="ArticleL2"/>
        <w:rPr>
          <w:b w:val="0"/>
          <w:snapToGrid w:val="0"/>
        </w:rPr>
      </w:pPr>
      <w:bookmarkStart w:id="25" w:name="_Toc88126505"/>
      <w:r>
        <w:rPr>
          <w:snapToGrid w:val="0"/>
        </w:rPr>
        <w:t>LANDFORM MODIFICATION</w:t>
      </w:r>
      <w:bookmarkEnd w:id="25"/>
    </w:p>
    <w:p w:rsidR="000D1EAB" w:rsidRDefault="000D1EAB" w:rsidP="00AF11DC">
      <w:pPr>
        <w:pStyle w:val="BodyText"/>
        <w:rPr>
          <w:snapToGrid w:val="0"/>
        </w:rPr>
      </w:pPr>
      <w:r>
        <w:rPr>
          <w:snapToGrid w:val="0"/>
        </w:rPr>
        <w:t xml:space="preserve">Parcel A is relatively flat. Landform modification will occur in order to create visual interest through the site to provide screening as necessary, and/or to provide for proper management of drainage.  The existing drainage pattern running roughly from the northeast to the southwest corner of the </w:t>
      </w:r>
      <w:r w:rsidR="0061063D">
        <w:rPr>
          <w:snapToGrid w:val="0"/>
        </w:rPr>
        <w:t>P</w:t>
      </w:r>
      <w:r>
        <w:rPr>
          <w:snapToGrid w:val="0"/>
        </w:rPr>
        <w:t xml:space="preserve">arcel will be preserved.  </w:t>
      </w:r>
    </w:p>
    <w:p w:rsidR="000D1EAB" w:rsidRDefault="000D1EAB" w:rsidP="00AF11DC">
      <w:pPr>
        <w:pStyle w:val="BodyText"/>
      </w:pPr>
      <w:r>
        <w:t>Refer to the Conceptual Utility/Grading Map, (Map 3 in Section 11) as well as Section 6.</w:t>
      </w:r>
      <w:r w:rsidR="00C94147">
        <w:t>17</w:t>
      </w:r>
      <w:r>
        <w:t xml:space="preserve"> for additional grading information and amounts of anticipated cut and fill.</w:t>
      </w:r>
    </w:p>
    <w:p w:rsidR="000D1EAB" w:rsidRDefault="000D1EAB" w:rsidP="00AC1023">
      <w:pPr>
        <w:pStyle w:val="ArticleL2"/>
        <w:rPr>
          <w:b w:val="0"/>
          <w:snapToGrid w:val="0"/>
        </w:rPr>
      </w:pPr>
      <w:bookmarkStart w:id="26" w:name="_Toc88126506"/>
      <w:r>
        <w:rPr>
          <w:snapToGrid w:val="0"/>
        </w:rPr>
        <w:t>DEVELOPMENT CONDITIONS</w:t>
      </w:r>
      <w:bookmarkEnd w:id="26"/>
    </w:p>
    <w:p w:rsidR="000D1EAB" w:rsidRDefault="000D1EAB" w:rsidP="00AF11DC">
      <w:pPr>
        <w:pStyle w:val="BodyText"/>
        <w:rPr>
          <w:snapToGrid w:val="0"/>
        </w:rPr>
      </w:pPr>
      <w:r>
        <w:rPr>
          <w:snapToGrid w:val="0"/>
        </w:rPr>
        <w:t>Development within Parcel A shall be subject to the applicable General Conditions in Appendix 1-1 of Section 1 and the applicable Performance Standards in Sections 6 through 10 and 16.</w:t>
      </w:r>
    </w:p>
    <w:p w:rsidR="00297E3F" w:rsidRPr="00297E3F" w:rsidRDefault="000D1EAB" w:rsidP="00471EC5">
      <w:pPr>
        <w:pStyle w:val="BodyText"/>
      </w:pPr>
      <w:r>
        <w:rPr>
          <w:snapToGrid w:val="0"/>
        </w:rPr>
        <w:t>Development within Parcel A shall also be subject to the applicable Special Conditions in Appendix 2-2 attached to this Section 2 and incorporated herein by this reference.</w:t>
      </w:r>
    </w:p>
    <w:p w:rsidR="00297E3F" w:rsidRDefault="00297E3F" w:rsidP="00297E3F">
      <w:r>
        <w:rPr>
          <w:snapToGrid w:val="0"/>
        </w:rPr>
        <w:br w:type="page"/>
      </w:r>
    </w:p>
    <w:p w:rsidR="000D1EAB" w:rsidRPr="001141E1" w:rsidRDefault="00297E3F" w:rsidP="00AC1023">
      <w:pPr>
        <w:pStyle w:val="ArticleL4"/>
        <w:numPr>
          <w:ilvl w:val="3"/>
          <w:numId w:val="4"/>
        </w:numPr>
      </w:pPr>
      <w:r>
        <w:br/>
      </w:r>
      <w:r w:rsidR="00A1662A" w:rsidRPr="00A1662A">
        <w:br/>
      </w:r>
      <w:bookmarkStart w:id="27" w:name="_Toc88126507"/>
      <w:r w:rsidR="000D1EAB">
        <w:t>SPECIAL CONDITIONS FOR</w:t>
      </w:r>
      <w:r w:rsidR="00AF11DC">
        <w:br/>
      </w:r>
      <w:r w:rsidR="000D1EAB">
        <w:t>PARCEL A</w:t>
      </w:r>
      <w:bookmarkEnd w:id="27"/>
    </w:p>
    <w:p w:rsidR="000D1EAB" w:rsidRDefault="000D1EAB" w:rsidP="00AC1023">
      <w:pPr>
        <w:pStyle w:val="ArticleL5"/>
      </w:pPr>
      <w:r>
        <w:t>AIRPORT</w:t>
      </w:r>
    </w:p>
    <w:p w:rsidR="000D1EAB" w:rsidRDefault="000D1EAB" w:rsidP="00AC1023">
      <w:pPr>
        <w:pStyle w:val="ArticleL6"/>
      </w:pPr>
      <w:r>
        <w:t>(</w:t>
      </w:r>
      <w:r w:rsidR="0061063D">
        <w:t>Subparcel</w:t>
      </w:r>
      <w:r>
        <w:t>s A-1, A-3, A-4 and A-8):</w:t>
      </w:r>
    </w:p>
    <w:p w:rsidR="000D1EAB" w:rsidRDefault="000D1EAB" w:rsidP="00AF11DC">
      <w:pPr>
        <w:pStyle w:val="BodyText"/>
      </w:pPr>
      <w:r>
        <w:t xml:space="preserve">Those portions of Parcel A that are located within the boundaries of the Airport Influence Area (including portions of </w:t>
      </w:r>
      <w:r w:rsidR="0061063D">
        <w:t>Subparcel</w:t>
      </w:r>
      <w:r>
        <w:t xml:space="preserve">s A-1, A-3 and A-8 and all of </w:t>
      </w:r>
      <w:r w:rsidR="0061063D">
        <w:t>Subparcel</w:t>
      </w:r>
      <w:r>
        <w:t xml:space="preserve"> A-4) as depicted on Map 4 in Section 11 of the GDP are subject to that Avigation Easement recorded in the Larimer County Records on July 9, 2004 at Reception No. 2004-0066598. </w:t>
      </w:r>
    </w:p>
    <w:p w:rsidR="000D1EAB" w:rsidRDefault="000D1EAB" w:rsidP="00AC1023">
      <w:pPr>
        <w:pStyle w:val="ArticleL6"/>
      </w:pPr>
      <w:r>
        <w:t>(</w:t>
      </w:r>
      <w:r w:rsidR="0061063D">
        <w:t>Subparcel</w:t>
      </w:r>
      <w:r>
        <w:t>s A-1, A-3, A-4 and A-8):</w:t>
      </w:r>
    </w:p>
    <w:p w:rsidR="000D1EAB" w:rsidRDefault="000D1EAB" w:rsidP="00AF11DC">
      <w:pPr>
        <w:pStyle w:val="BodyText"/>
      </w:pPr>
      <w:r>
        <w:t>Those portions of Parcel A that are located within the Airport Influence Area may experience noise from low-flying aircraft as a result of 24 hour per day aircraft operations, therefore,</w:t>
      </w:r>
      <w:r>
        <w:rPr>
          <w:b/>
        </w:rPr>
        <w:t xml:space="preserve"> </w:t>
      </w:r>
      <w:r>
        <w:t xml:space="preserve">all </w:t>
      </w:r>
      <w:r w:rsidR="00AE0CE0">
        <w:t>S</w:t>
      </w:r>
      <w:r>
        <w:t xml:space="preserve">ubdivision plats for property that is wholly or partially located within the boundaries of the Airport Influence Area as depicted on Map 4 in Section 11 of the GDP shall contain the following language:  “All or a portion of the property being subdivided may be located within the Airport Influence Area of the </w:t>
      </w:r>
      <w:r w:rsidR="005771B5">
        <w:t>Northern Colorado Regional</w:t>
      </w:r>
      <w:r>
        <w:t xml:space="preserve"> Airport.  Such property may experience noise from low-flying aircraft as a result of 24 hour per day aircraft operations.”</w:t>
      </w:r>
    </w:p>
    <w:p w:rsidR="000D1EAB" w:rsidRDefault="000D1EAB" w:rsidP="00AC1023">
      <w:pPr>
        <w:pStyle w:val="ArticleL6"/>
      </w:pPr>
      <w:r>
        <w:t>(</w:t>
      </w:r>
      <w:r w:rsidR="0061063D">
        <w:t>Subparcel</w:t>
      </w:r>
      <w:r>
        <w:t>s A-1, A-3, A-4 and A-8):</w:t>
      </w:r>
    </w:p>
    <w:p w:rsidR="000D1EAB" w:rsidRDefault="000D1EAB" w:rsidP="00AF11DC">
      <w:pPr>
        <w:pStyle w:val="BodyText"/>
      </w:pPr>
      <w:r>
        <w:t>No structures located within those portions of Parcel A that are located within the Airport Influence Area as shown on Map 4 in Section 11 of the GDP shall extend into restricted air space as defined by FAA Regulation, Part 77, and the Applicant shall comply with all applicable notice requirements of such FAA Regulation.</w:t>
      </w:r>
    </w:p>
    <w:p w:rsidR="000D1EAB" w:rsidRDefault="000D1EAB" w:rsidP="00AC1023">
      <w:pPr>
        <w:pStyle w:val="ArticleL6"/>
      </w:pPr>
      <w:r>
        <w:t>(</w:t>
      </w:r>
      <w:r w:rsidR="0061063D">
        <w:t>Subparcel</w:t>
      </w:r>
      <w:r>
        <w:t>s A-1, A-3, A-4 and A-8):</w:t>
      </w:r>
    </w:p>
    <w:p w:rsidR="000D1EAB" w:rsidRDefault="000D1EAB" w:rsidP="00AF11DC">
      <w:pPr>
        <w:pStyle w:val="BodyText"/>
      </w:pPr>
      <w:r>
        <w:t xml:space="preserve">Except to the extent otherwise required by applicable Federal law, all new bodies of water within the Airport Influence Area as depicted on Map 4 in Section 11 of the GDP and within a radius of 10,000 feet from the end of any runway of the Airport, shall be prohibited </w:t>
      </w:r>
      <w:r w:rsidR="001A2182">
        <w:t>if</w:t>
      </w:r>
      <w:r>
        <w:t>:  (1) they are larger than one-quarter acre in size; (2) they are installed after Ju1y 11, 2006; (3) they are designed to hold or retain water permanently or over extended periods of time; and (4) they are bird attractants.  To the extent permitted by Federal law, this prohibition shall not apply to a relocation or expansion of any existing water body or to detention ponds that have outlet structures designed to prevent the permanent containment of water.</w:t>
      </w:r>
    </w:p>
    <w:p w:rsidR="000D1EAB" w:rsidRDefault="000D1EAB" w:rsidP="00AC1023">
      <w:pPr>
        <w:pStyle w:val="ArticleL6"/>
      </w:pPr>
      <w:r>
        <w:t>(</w:t>
      </w:r>
      <w:r w:rsidR="0061063D">
        <w:t>Subparcel</w:t>
      </w:r>
      <w:r>
        <w:t>s A-1, A-3, A-4 and A-8):</w:t>
      </w:r>
    </w:p>
    <w:p w:rsidR="000D1EAB" w:rsidRDefault="000D1EAB" w:rsidP="00AF11DC">
      <w:pPr>
        <w:pStyle w:val="BodyText"/>
      </w:pPr>
      <w:r>
        <w:t>No exterior lighting, reflective material, smoke emissions or electronic emissions shall be permitted in the Airport Influence Area as depicted on Map 4 in Section 11 of the GDP which would materially lower pilots’ visibility or cause material interference with the Airport’s navigation and communication systems.  For purposes of this condition, “reflective material” is defined as glazing with a reflectivity of 65% or greater.</w:t>
      </w:r>
    </w:p>
    <w:p w:rsidR="000D1EAB" w:rsidRDefault="000D1EAB" w:rsidP="00AC1023">
      <w:pPr>
        <w:pStyle w:val="ArticleL6"/>
      </w:pPr>
      <w:r>
        <w:t>(</w:t>
      </w:r>
      <w:r w:rsidR="0061063D">
        <w:t>Subparcel</w:t>
      </w:r>
      <w:r>
        <w:t>s A-1, A-3, A-4 and A-8):</w:t>
      </w:r>
    </w:p>
    <w:p w:rsidR="000D1EAB" w:rsidRDefault="000D1EAB" w:rsidP="00AF11DC">
      <w:pPr>
        <w:pStyle w:val="BodyText"/>
      </w:pPr>
      <w:r>
        <w:t xml:space="preserve">The Developer shall include the following disclosure statement in all of its contracts for the sale of any of the property located within Parcel A of the GDP which is also within the Airport Influence Area as shown on Map 4 in Section 11 and further, shall include a provision in such sales contracts that the purchaser thereof shall include the following disclosure statement in all of its subsequent contracts for sale of such property:  “The property subject to this contract may be located within the Airport Influence Area of the </w:t>
      </w:r>
      <w:r w:rsidR="005771B5">
        <w:t>Northern Colorado Regional</w:t>
      </w:r>
      <w:r>
        <w:t xml:space="preserve"> Airport.  Such property may experience noise from low-flying aircraft as a result of 24 hour per day aircraft operations.”  Each such contract subject to this Special Condition shall expressly provide that the disclosure provision survives closing and is enforceable at law or in equity by the City as a third party beneficiary of such contract.</w:t>
      </w:r>
    </w:p>
    <w:p w:rsidR="000D1EAB" w:rsidRDefault="000D1EAB" w:rsidP="00AC1023">
      <w:pPr>
        <w:pStyle w:val="ArticleL5"/>
      </w:pPr>
      <w:r>
        <w:t>FEES/CREDITS/REIMBURSEMENTS</w:t>
      </w:r>
    </w:p>
    <w:p w:rsidR="000D1EAB" w:rsidRDefault="000D1EAB" w:rsidP="00AC1023">
      <w:pPr>
        <w:pStyle w:val="ArticleL6"/>
      </w:pPr>
      <w:r>
        <w:t>(</w:t>
      </w:r>
      <w:r w:rsidR="0061063D">
        <w:t>Subparcel</w:t>
      </w:r>
      <w:r>
        <w:t>s A-1, A-3 and A-4):</w:t>
      </w:r>
    </w:p>
    <w:p w:rsidR="000D1EAB" w:rsidRDefault="000D1EAB" w:rsidP="00AF11DC">
      <w:pPr>
        <w:pStyle w:val="BodyText"/>
      </w:pPr>
      <w:r>
        <w:t xml:space="preserve">Pursuant to the MFA, projects within </w:t>
      </w:r>
      <w:r w:rsidR="0061063D">
        <w:t>Subparcel</w:t>
      </w:r>
      <w:r>
        <w:t>s A-1, A-3 and A-4 (MFA Commercial Area) shall not be eligible to receive reimbursement from the City to which they might otherwise be entitled pursuant to City Regulations, as defined in the MFA, for the design and construction of public improvements therein, with the exception of the following reimbursements:</w:t>
      </w:r>
    </w:p>
    <w:p w:rsidR="000D1EAB" w:rsidRDefault="000D1EAB" w:rsidP="00AC1023">
      <w:pPr>
        <w:pStyle w:val="ArticleL7"/>
      </w:pPr>
      <w:r>
        <w:t>The City’s obligation to reimburse Centerra Properties West, LLC for certain costs incurred for a preliminary design of the Arterial Street Improvements.  Refer to Section 6.5 of the PVH Agreement for specific terms.</w:t>
      </w:r>
    </w:p>
    <w:p w:rsidR="000D1EAB" w:rsidRDefault="000D1EAB" w:rsidP="00AC1023">
      <w:pPr>
        <w:pStyle w:val="ArticleL7"/>
      </w:pPr>
      <w:r>
        <w:t>Reimbursements for public improvements which were completed prior to January 20, 2004.  Refer to Sections 12.3 and 13.5 of the MFA for specific terms.</w:t>
      </w:r>
    </w:p>
    <w:p w:rsidR="000D1EAB" w:rsidRDefault="000D1EAB" w:rsidP="00AC1023">
      <w:pPr>
        <w:pStyle w:val="ArticleL7"/>
      </w:pPr>
      <w:r>
        <w:t xml:space="preserve">Reimbursements for public improvements completed in connection with Development Projects not within the MFA Commercial Area, unless such public improvements are not eligible for reimbursement pursuant to the MFA, Section 12.3.  </w:t>
      </w:r>
    </w:p>
    <w:p w:rsidR="000D1EAB" w:rsidRDefault="000D1EAB" w:rsidP="00AF11DC">
      <w:pPr>
        <w:pStyle w:val="BodyText"/>
      </w:pPr>
      <w:bookmarkStart w:id="28" w:name="_Hlk71222869"/>
      <w:r>
        <w:t xml:space="preserve">Additionally, to the extent the Developer or District constructs public improvements for which Developer or District also pays </w:t>
      </w:r>
      <w:r w:rsidR="00DA4F70">
        <w:t>CEF</w:t>
      </w:r>
      <w:r>
        <w:t>, then reimbursement may be owed.</w:t>
      </w:r>
      <w:r w:rsidR="003C4BCF">
        <w:t xml:space="preserve"> A</w:t>
      </w:r>
      <w:r w:rsidR="003C4BCF" w:rsidRPr="00554ADF">
        <w:rPr>
          <w:color w:val="000000"/>
        </w:rPr>
        <w:t>ll reimbursements shall be in compliance with the City’s standard reimbursement policies outlined in LCUASS Section 1.9.3 and identified as a reimbursable improvement in the City’s latest adopted Transportation Plan.</w:t>
      </w:r>
    </w:p>
    <w:bookmarkEnd w:id="28"/>
    <w:p w:rsidR="000D1EAB" w:rsidRDefault="000D1EAB" w:rsidP="00AC1023">
      <w:pPr>
        <w:pStyle w:val="ArticleL6"/>
      </w:pPr>
      <w:r>
        <w:t>(</w:t>
      </w:r>
      <w:r w:rsidR="0061063D">
        <w:t>Subparcel</w:t>
      </w:r>
      <w:r>
        <w:t>s A-1, A-3 and A-4):</w:t>
      </w:r>
    </w:p>
    <w:p w:rsidR="000D1EAB" w:rsidRDefault="000D1EAB" w:rsidP="00AF11DC">
      <w:pPr>
        <w:pStyle w:val="BodyText"/>
        <w:rPr>
          <w:b/>
          <w:bCs/>
        </w:rPr>
      </w:pPr>
      <w:r>
        <w:t xml:space="preserve">Centerra Properties West, LLC and its affiliates are entitled to receive certain credits against City water system impact fees and City </w:t>
      </w:r>
      <w:r w:rsidR="00DA4F70">
        <w:t>CEF</w:t>
      </w:r>
      <w:r>
        <w:t xml:space="preserve"> for </w:t>
      </w:r>
      <w:r w:rsidR="00AE0CE0">
        <w:t>S</w:t>
      </w:r>
      <w:r>
        <w:t xml:space="preserve">treets in connection with Development Projects within </w:t>
      </w:r>
      <w:r w:rsidR="0061063D">
        <w:t>Subparcel</w:t>
      </w:r>
      <w:r>
        <w:t xml:space="preserve">s A-1, A-3 and A-4 (MFA Commercial Area) pursuant to the terms of the MFA, the UDC and applicable law.  Refer to Section 12.1 of the MFA for the specific terms.  </w:t>
      </w:r>
    </w:p>
    <w:p w:rsidR="000D1EAB" w:rsidRDefault="000D1EAB" w:rsidP="00AC1023">
      <w:pPr>
        <w:pStyle w:val="ArticleL6"/>
      </w:pPr>
      <w:r>
        <w:t>(</w:t>
      </w:r>
      <w:r w:rsidR="0061063D">
        <w:t>Subparcel</w:t>
      </w:r>
      <w:r>
        <w:t>s A-1, A-3 and A-4):</w:t>
      </w:r>
    </w:p>
    <w:p w:rsidR="000D1EAB" w:rsidRDefault="000D1EAB" w:rsidP="00AF11DC">
      <w:pPr>
        <w:pStyle w:val="BodyText"/>
      </w:pPr>
      <w:r>
        <w:t xml:space="preserve">Except as provided in Special Conditions Nos. 7 and 8 above, the Applicant of every project within </w:t>
      </w:r>
      <w:r w:rsidR="0061063D">
        <w:t>Subparcel</w:t>
      </w:r>
      <w:r>
        <w:t>s A-1, A-3 and A-4 (MFA Commercial Area) shall be responsible for payment of all applicable City development fees and use taxes and for satisfaction of all raw water requirements.  Refer to Section 12.3 of the MFA for the specific terms.</w:t>
      </w:r>
    </w:p>
    <w:p w:rsidR="000D1EAB" w:rsidRDefault="000D1EAB" w:rsidP="00AC1023">
      <w:pPr>
        <w:pStyle w:val="ArticleL6"/>
      </w:pPr>
      <w:r>
        <w:t>(</w:t>
      </w:r>
      <w:r w:rsidR="0061063D">
        <w:t>Subparcel</w:t>
      </w:r>
      <w:r>
        <w:t>s A-2, A-5 and A-8):</w:t>
      </w:r>
    </w:p>
    <w:p w:rsidR="000D1EAB" w:rsidRDefault="000D1EAB" w:rsidP="00AF11DC">
      <w:pPr>
        <w:pStyle w:val="BodyText"/>
      </w:pPr>
      <w:r>
        <w:t xml:space="preserve">With the exception of the local </w:t>
      </w:r>
      <w:r w:rsidR="00AE0CE0">
        <w:t>S</w:t>
      </w:r>
      <w:r>
        <w:t xml:space="preserve">treet segment as defined in LCUASS, all </w:t>
      </w:r>
      <w:r w:rsidR="00AE0CE0">
        <w:t>S</w:t>
      </w:r>
      <w:r>
        <w:t xml:space="preserve">treets that are included in the City’s Transportation Capital Improvement Plan, as part of the Transportation Plan (“CIP”), shall be deemed part of the City’s </w:t>
      </w:r>
      <w:r w:rsidR="00AE0CE0">
        <w:t>S</w:t>
      </w:r>
      <w:r>
        <w:t xml:space="preserve">treet </w:t>
      </w:r>
      <w:r w:rsidR="00DA4F70">
        <w:t xml:space="preserve">CEF </w:t>
      </w:r>
      <w:r>
        <w:t xml:space="preserve">system and eligible for </w:t>
      </w:r>
      <w:r w:rsidR="00AE0CE0">
        <w:t>S</w:t>
      </w:r>
      <w:r>
        <w:t xml:space="preserve">treet CEF reimbursement consistent with City policy, which City policy presently designates only those </w:t>
      </w:r>
      <w:r w:rsidR="00AE0CE0">
        <w:t>S</w:t>
      </w:r>
      <w:r>
        <w:t xml:space="preserve">treets classified as arterial and above as part of such CIP system and eligible for reimbursement.  To the extent the Developer, as a condition of the development of </w:t>
      </w:r>
      <w:r w:rsidR="0061063D">
        <w:t>Subparcel</w:t>
      </w:r>
      <w:r>
        <w:t xml:space="preserve">s A-2, A-5 or A-8, has designed and/or constructed, or caused to be designed and constructed, improvements to such </w:t>
      </w:r>
      <w:r w:rsidR="00AE0CE0">
        <w:t>S</w:t>
      </w:r>
      <w:r>
        <w:t xml:space="preserve">treets, it shall be entitled to a reimbursement therefor but such reimbursement shall be in an amount equal to the costs incurred by or on behalf of the Developer in the design and construction of such </w:t>
      </w:r>
      <w:r w:rsidR="00AE0CE0">
        <w:t>S</w:t>
      </w:r>
      <w:r>
        <w:t>treets (including the cost of off-site easement acquisition), plus interest at the average rate received by the City on its investments over the 12-month period preceding the date such interest commences to accrue, compounded annually and accruing from the date of completion and acceptance of the eligible improvement to the date reimbursement has been made.  The Developer shall be reimbursed an amount equal to</w:t>
      </w:r>
      <w:r>
        <w:rPr>
          <w:b/>
          <w:bCs/>
        </w:rPr>
        <w:t xml:space="preserve"> </w:t>
      </w:r>
      <w:r>
        <w:t xml:space="preserve">80% of each applicable </w:t>
      </w:r>
      <w:r w:rsidR="00AE0CE0">
        <w:t>S</w:t>
      </w:r>
      <w:r>
        <w:t xml:space="preserve">treet CEF actually paid by any person or entity other than the City for each building permit within all projects in the GDP, and such reimbursement shall continue to apply until the Developer has received reimbursements in an amount equal to the total cost, as calculated above, of those eligible </w:t>
      </w:r>
      <w:r w:rsidR="00AE0CE0">
        <w:t>S</w:t>
      </w:r>
      <w:r>
        <w:t xml:space="preserve">treets designed and constructed, or caused to be designed and constructed, by the Developer.  The remaining 20% of each applicable </w:t>
      </w:r>
      <w:r w:rsidR="00AE0CE0">
        <w:t>S</w:t>
      </w:r>
      <w:r>
        <w:t>treet CEF paid at building permit issuance may be used by the City to fund capital transportation costs in other areas of the City, as it deems appropriate.  Reimbursements shall be made by the City to the Developer on a quarterly basis.</w:t>
      </w:r>
    </w:p>
    <w:p w:rsidR="000D1EAB" w:rsidRDefault="000D1EAB" w:rsidP="00AC1023">
      <w:pPr>
        <w:pStyle w:val="ArticleL6"/>
      </w:pPr>
      <w:r>
        <w:t>(</w:t>
      </w:r>
      <w:r w:rsidR="0061063D">
        <w:t>Subparcel</w:t>
      </w:r>
      <w:r>
        <w:t xml:space="preserve"> A-4):</w:t>
      </w:r>
    </w:p>
    <w:p w:rsidR="000D1EAB" w:rsidRDefault="000D1EAB" w:rsidP="00AF11DC">
      <w:pPr>
        <w:pStyle w:val="BodyText"/>
      </w:pPr>
      <w:r>
        <w:t xml:space="preserve">Centerra Properties West, LLC and its affiliates are entitled to receive a deferral of certain City system impact fees and </w:t>
      </w:r>
      <w:r w:rsidR="00DA4F70">
        <w:t>CEF</w:t>
      </w:r>
      <w:r>
        <w:t xml:space="preserve"> for a defined period in connection with the development of the approved lifestyle center in </w:t>
      </w:r>
      <w:r w:rsidR="0061063D">
        <w:t>Subparcel</w:t>
      </w:r>
      <w:r>
        <w:t xml:space="preserve"> A-4 pursuant to the terms of the MFA.  Refer to Section 12.2 of the MFA for specific terms.  </w:t>
      </w:r>
    </w:p>
    <w:p w:rsidR="000D1EAB" w:rsidRPr="002020F4" w:rsidRDefault="000D1EAB" w:rsidP="00AC1023">
      <w:pPr>
        <w:pStyle w:val="ArticleL5"/>
      </w:pPr>
      <w:r w:rsidRPr="002020F4">
        <w:t>ENVIRONMENTAL FEES</w:t>
      </w:r>
    </w:p>
    <w:p w:rsidR="000D1EAB" w:rsidRPr="002020F4" w:rsidRDefault="000D1EAB" w:rsidP="00AC1023">
      <w:pPr>
        <w:pStyle w:val="ArticleL6"/>
        <w:rPr>
          <w:rFonts w:eastAsia="Calibri"/>
        </w:rPr>
      </w:pPr>
      <w:r w:rsidRPr="002020F4">
        <w:rPr>
          <w:rFonts w:eastAsia="Calibri"/>
          <w:szCs w:val="22"/>
        </w:rPr>
        <w:t>(</w:t>
      </w:r>
      <w:r w:rsidR="0061063D">
        <w:rPr>
          <w:rFonts w:eastAsia="Calibri"/>
          <w:szCs w:val="22"/>
        </w:rPr>
        <w:t>Subparcel</w:t>
      </w:r>
      <w:r>
        <w:rPr>
          <w:rFonts w:eastAsia="Calibri"/>
          <w:szCs w:val="22"/>
        </w:rPr>
        <w:t>s A-2, A-5, A-6, A-7 and A-8</w:t>
      </w:r>
      <w:r w:rsidRPr="002020F4">
        <w:rPr>
          <w:rFonts w:eastAsia="Calibri"/>
          <w:szCs w:val="22"/>
        </w:rPr>
        <w:t xml:space="preserve">): </w:t>
      </w:r>
    </w:p>
    <w:p w:rsidR="000D1EAB" w:rsidRDefault="000D1EAB" w:rsidP="00AF11DC">
      <w:pPr>
        <w:pStyle w:val="BodyText"/>
        <w:rPr>
          <w:rFonts w:eastAsia="Calibri"/>
        </w:rPr>
      </w:pPr>
      <w:r w:rsidRPr="002020F4">
        <w:rPr>
          <w:rFonts w:eastAsia="Calibri"/>
        </w:rPr>
        <w:t xml:space="preserve">Each residential building permit issued for a new Dwelling Unit in </w:t>
      </w:r>
      <w:r w:rsidR="0061063D">
        <w:rPr>
          <w:rFonts w:eastAsia="Calibri"/>
        </w:rPr>
        <w:t>Subparcel</w:t>
      </w:r>
      <w:r w:rsidRPr="002020F4">
        <w:rPr>
          <w:rFonts w:eastAsia="Calibri"/>
        </w:rPr>
        <w:t xml:space="preserve">s </w:t>
      </w:r>
      <w:r>
        <w:rPr>
          <w:rFonts w:eastAsia="Calibri"/>
        </w:rPr>
        <w:t>A</w:t>
      </w:r>
      <w:r w:rsidRPr="002020F4">
        <w:rPr>
          <w:rFonts w:eastAsia="Calibri"/>
        </w:rPr>
        <w:t>-</w:t>
      </w:r>
      <w:r>
        <w:rPr>
          <w:rFonts w:eastAsia="Calibri"/>
        </w:rPr>
        <w:t>2, A-5,</w:t>
      </w:r>
      <w:r w:rsidR="00D3206F">
        <w:rPr>
          <w:rFonts w:eastAsia="Calibri"/>
        </w:rPr>
        <w:t xml:space="preserve"> </w:t>
      </w:r>
      <w:r>
        <w:rPr>
          <w:rFonts w:eastAsia="Calibri"/>
        </w:rPr>
        <w:t>A-6, A-7</w:t>
      </w:r>
      <w:r w:rsidRPr="002020F4">
        <w:rPr>
          <w:rFonts w:eastAsia="Calibri"/>
        </w:rPr>
        <w:t xml:space="preserve"> and </w:t>
      </w:r>
      <w:r>
        <w:rPr>
          <w:rFonts w:eastAsia="Calibri"/>
        </w:rPr>
        <w:t xml:space="preserve">A-8 </w:t>
      </w:r>
      <w:r w:rsidRPr="002020F4">
        <w:rPr>
          <w:rFonts w:eastAsia="Calibri"/>
        </w:rPr>
        <w:t>through December 31, 2040, shall require the payment of a Residential Environmental Fee of $0.</w:t>
      </w:r>
      <w:r>
        <w:rPr>
          <w:rFonts w:eastAsia="Calibri"/>
        </w:rPr>
        <w:t>20</w:t>
      </w:r>
      <w:r w:rsidRPr="002020F4">
        <w:rPr>
          <w:rFonts w:eastAsia="Calibri"/>
        </w:rPr>
        <w:t xml:space="preserve"> per finished square foot of habitable space within the Dwelling Unit </w:t>
      </w:r>
      <w:r>
        <w:rPr>
          <w:rFonts w:eastAsia="Calibri"/>
        </w:rPr>
        <w:t>ex</w:t>
      </w:r>
      <w:r w:rsidRPr="002020F4">
        <w:rPr>
          <w:rFonts w:eastAsia="Calibri"/>
        </w:rPr>
        <w:t>cluding basements, garages, carports, porches and decks.  Each Residential Environmental Fee shall be delivered to the City in the form of a check made payable to the HPF.</w:t>
      </w:r>
    </w:p>
    <w:p w:rsidR="000D1EAB" w:rsidRPr="000D1EAB" w:rsidRDefault="000D1EAB" w:rsidP="00AC1023">
      <w:pPr>
        <w:pStyle w:val="ArticleL5"/>
        <w:rPr>
          <w:bCs/>
        </w:rPr>
      </w:pPr>
      <w:r w:rsidRPr="000D1EAB">
        <w:t>NOTIFICATION</w:t>
      </w:r>
      <w:r w:rsidR="00AF11DC">
        <w:br/>
      </w:r>
      <w:r w:rsidRPr="000D1EAB">
        <w:t>OF MINERAL</w:t>
      </w:r>
      <w:r w:rsidR="00AF11DC">
        <w:br/>
      </w:r>
      <w:r w:rsidRPr="000D1EAB">
        <w:t>ESTATE OWNERS</w:t>
      </w:r>
    </w:p>
    <w:p w:rsidR="000D1EAB" w:rsidRDefault="000D1EAB" w:rsidP="00AC1023">
      <w:pPr>
        <w:pStyle w:val="ArticleL6"/>
      </w:pPr>
      <w:r>
        <w:rPr>
          <w:bCs/>
        </w:rPr>
        <w:t>(</w:t>
      </w:r>
      <w:r w:rsidR="0061063D">
        <w:rPr>
          <w:bCs/>
        </w:rPr>
        <w:t>Subparcel</w:t>
      </w:r>
      <w:r>
        <w:rPr>
          <w:bCs/>
        </w:rPr>
        <w:t>s A-1, A-6 and A-7):</w:t>
      </w:r>
    </w:p>
    <w:p w:rsidR="000D1EAB" w:rsidRDefault="000D1EAB" w:rsidP="00AF11DC">
      <w:pPr>
        <w:pStyle w:val="BodyText"/>
      </w:pPr>
      <w:bookmarkStart w:id="29" w:name="_Hlk71223592"/>
      <w:r w:rsidRPr="00D56772">
        <w:t xml:space="preserve">C.R.S. §24-65.5-101 </w:t>
      </w:r>
      <w:r w:rsidRPr="00D56772">
        <w:rPr>
          <w:i/>
          <w:iCs/>
        </w:rPr>
        <w:t>et seq</w:t>
      </w:r>
      <w:r w:rsidRPr="00D56772">
        <w:t xml:space="preserve">. requires that, upon the first application for a </w:t>
      </w:r>
      <w:r w:rsidR="00AE0CE0">
        <w:t>S</w:t>
      </w:r>
      <w:r w:rsidRPr="00D56772">
        <w:t xml:space="preserve">ubdivision plat which requires a public hearing, public notice shall be provided at least 30 </w:t>
      </w:r>
      <w:r w:rsidR="0090614D">
        <w:t>D</w:t>
      </w:r>
      <w:r w:rsidRPr="00D56772">
        <w:t>ays prior to the such</w:t>
      </w:r>
      <w:r>
        <w:t xml:space="preserve"> </w:t>
      </w:r>
      <w:r w:rsidRPr="00D56772">
        <w:t xml:space="preserve">public hearing to the owners of mineral estates within the property to be platted, as such owners are defined by C.R.S. §24-65.5-102(5).  </w:t>
      </w:r>
      <w:r w:rsidR="0037519C">
        <w:t>The City acknowledges that s</w:t>
      </w:r>
      <w:r w:rsidR="005771B5">
        <w:t>uch n</w:t>
      </w:r>
      <w:r w:rsidRPr="00D56772">
        <w:t xml:space="preserve">otice has been provided with respect to all of the properties within Parcel A, and no further notice to mineral estate owners is required in order to comply with these statutory requirements.  </w:t>
      </w:r>
    </w:p>
    <w:bookmarkEnd w:id="29"/>
    <w:p w:rsidR="000D1EAB" w:rsidRDefault="000D1EAB" w:rsidP="00AC1023">
      <w:pPr>
        <w:pStyle w:val="ArticleL5"/>
      </w:pPr>
      <w:r>
        <w:t>PLANNING</w:t>
      </w:r>
    </w:p>
    <w:p w:rsidR="000D1EAB" w:rsidRPr="00C85C61" w:rsidRDefault="000D1EAB" w:rsidP="00AC1023">
      <w:pPr>
        <w:pStyle w:val="ArticleL6"/>
      </w:pPr>
      <w:r w:rsidRPr="00C85C61">
        <w:t>(</w:t>
      </w:r>
      <w:r w:rsidR="0061063D">
        <w:t>Subparcel</w:t>
      </w:r>
      <w:r w:rsidRPr="00C85C61">
        <w:t xml:space="preserve"> A-1):</w:t>
      </w:r>
    </w:p>
    <w:p w:rsidR="000D1EAB" w:rsidRDefault="000D1EAB" w:rsidP="00AF11DC">
      <w:pPr>
        <w:pStyle w:val="BodyText"/>
        <w:rPr>
          <w:u w:val="single"/>
        </w:rPr>
      </w:pPr>
      <w:r>
        <w:t xml:space="preserve">Residential </w:t>
      </w:r>
      <w:r w:rsidR="002A0C0C">
        <w:t>U</w:t>
      </w:r>
      <w:r>
        <w:t xml:space="preserve">ses within </w:t>
      </w:r>
      <w:r w:rsidR="0061063D">
        <w:t>Subparcel</w:t>
      </w:r>
      <w:r>
        <w:t xml:space="preserve"> A-1 which are not located in a Mixed</w:t>
      </w:r>
      <w:r w:rsidR="00DA4F70">
        <w:t xml:space="preserve"> </w:t>
      </w:r>
      <w:r>
        <w:t>Use Structure shall be integrated so that they have physical connections, and visually relate, to the other land use components.</w:t>
      </w:r>
    </w:p>
    <w:p w:rsidR="000D1EAB" w:rsidRDefault="000D1EAB" w:rsidP="00AC1023">
      <w:pPr>
        <w:pStyle w:val="ArticleL5"/>
      </w:pPr>
      <w:r>
        <w:t>RAILROAD</w:t>
      </w:r>
    </w:p>
    <w:p w:rsidR="000D1EAB" w:rsidRDefault="000D1EAB" w:rsidP="00AC1023">
      <w:pPr>
        <w:pStyle w:val="ArticleL6"/>
      </w:pPr>
      <w:r>
        <w:rPr>
          <w:color w:val="000000"/>
        </w:rPr>
        <w:t>(Parcel A):</w:t>
      </w:r>
    </w:p>
    <w:p w:rsidR="000D1EAB" w:rsidRDefault="000D1EAB" w:rsidP="00AF11DC">
      <w:pPr>
        <w:pStyle w:val="BodyText"/>
        <w:rPr>
          <w:b/>
          <w:bCs/>
        </w:rPr>
      </w:pPr>
      <w:r>
        <w:t xml:space="preserve">For the purpose of mitigating general railroad noise and vibration, the Applicant shall provide a bufferyard between Buildings for residential occupancy on </w:t>
      </w:r>
      <w:r w:rsidR="00231DC0">
        <w:t>L</w:t>
      </w:r>
      <w:r>
        <w:t xml:space="preserve">ots in Parcel A and the Union Pacific Railroad </w:t>
      </w:r>
      <w:r w:rsidR="00210725">
        <w:t>R</w:t>
      </w:r>
      <w:r>
        <w:t>ight-of-</w:t>
      </w:r>
      <w:r w:rsidR="00210725">
        <w:t>W</w:t>
      </w:r>
      <w:r>
        <w:t xml:space="preserve">ay in accordance with the requirements set forth in Section 15, Appendix A of the GDP. </w:t>
      </w:r>
    </w:p>
    <w:p w:rsidR="000D1EAB" w:rsidRDefault="000D1EAB" w:rsidP="00AC1023">
      <w:pPr>
        <w:pStyle w:val="ArticleL6"/>
      </w:pPr>
      <w:r>
        <w:rPr>
          <w:bCs/>
        </w:rPr>
        <w:t>(</w:t>
      </w:r>
      <w:r w:rsidR="0061063D">
        <w:rPr>
          <w:bCs/>
        </w:rPr>
        <w:t>Subparcel</w:t>
      </w:r>
      <w:r>
        <w:rPr>
          <w:bCs/>
        </w:rPr>
        <w:t>s A-1, A-3 and A-8):</w:t>
      </w:r>
    </w:p>
    <w:p w:rsidR="000D1EAB" w:rsidRDefault="000D1EAB" w:rsidP="00AF11DC">
      <w:pPr>
        <w:pStyle w:val="BodyText"/>
        <w:rPr>
          <w:snapToGrid w:val="0"/>
        </w:rPr>
      </w:pPr>
      <w:r>
        <w:rPr>
          <w:snapToGrid w:val="0"/>
        </w:rPr>
        <w:t xml:space="preserve">The Union Pacific Railroad tracks run through Parcel A generally from the northwest corner of such </w:t>
      </w:r>
      <w:r w:rsidR="0061063D">
        <w:rPr>
          <w:snapToGrid w:val="0"/>
        </w:rPr>
        <w:t>P</w:t>
      </w:r>
      <w:r>
        <w:rPr>
          <w:snapToGrid w:val="0"/>
        </w:rPr>
        <w:t xml:space="preserve">arcel to the southeast corner of the </w:t>
      </w:r>
      <w:r w:rsidR="0061063D">
        <w:rPr>
          <w:snapToGrid w:val="0"/>
        </w:rPr>
        <w:t>P</w:t>
      </w:r>
      <w:r>
        <w:rPr>
          <w:snapToGrid w:val="0"/>
        </w:rPr>
        <w:t xml:space="preserve">arcel.  Residents adjacent to such </w:t>
      </w:r>
      <w:r w:rsidRPr="001141E1">
        <w:rPr>
          <w:snapToGrid w:val="0"/>
          <w:szCs w:val="22"/>
        </w:rPr>
        <w:t>railroad</w:t>
      </w:r>
      <w:r>
        <w:rPr>
          <w:snapToGrid w:val="0"/>
        </w:rPr>
        <w:t xml:space="preserve"> tracks may experience noise and vibration effects resulting from the passage of trains on such tracks in close proximity to adjacent Lots.  A notice reciting the above-stated potential impacts from such railroad tracks shall be placed on each </w:t>
      </w:r>
      <w:r w:rsidR="00AE0CE0">
        <w:rPr>
          <w:snapToGrid w:val="0"/>
        </w:rPr>
        <w:t>S</w:t>
      </w:r>
      <w:r>
        <w:rPr>
          <w:snapToGrid w:val="0"/>
        </w:rPr>
        <w:t xml:space="preserve">ubdivision plat which includes any portion of </w:t>
      </w:r>
      <w:r w:rsidR="0061063D">
        <w:rPr>
          <w:snapToGrid w:val="0"/>
        </w:rPr>
        <w:t>Subparcel</w:t>
      </w:r>
      <w:r>
        <w:rPr>
          <w:snapToGrid w:val="0"/>
        </w:rPr>
        <w:t xml:space="preserve">s A-1, A-3, or A-8 within 500 feet of the railroad </w:t>
      </w:r>
      <w:r w:rsidR="00210725">
        <w:rPr>
          <w:snapToGrid w:val="0"/>
        </w:rPr>
        <w:t>R</w:t>
      </w:r>
      <w:r>
        <w:rPr>
          <w:snapToGrid w:val="0"/>
        </w:rPr>
        <w:t>ight-of-</w:t>
      </w:r>
      <w:r w:rsidR="00210725">
        <w:rPr>
          <w:snapToGrid w:val="0"/>
        </w:rPr>
        <w:t>W</w:t>
      </w:r>
      <w:r>
        <w:rPr>
          <w:snapToGrid w:val="0"/>
        </w:rPr>
        <w:t>ay.</w:t>
      </w:r>
    </w:p>
    <w:p w:rsidR="000D1EAB" w:rsidRDefault="000D1EAB" w:rsidP="00AC1023">
      <w:pPr>
        <w:pStyle w:val="ArticleL5"/>
      </w:pPr>
      <w:r>
        <w:t>SCHOOL DISTRICT</w:t>
      </w:r>
    </w:p>
    <w:p w:rsidR="000D1EAB" w:rsidRDefault="000D1EAB" w:rsidP="00AC1023">
      <w:pPr>
        <w:pStyle w:val="ArticleL6"/>
      </w:pPr>
      <w:r>
        <w:rPr>
          <w:szCs w:val="22"/>
        </w:rPr>
        <w:t>(</w:t>
      </w:r>
      <w:r w:rsidR="0061063D">
        <w:rPr>
          <w:szCs w:val="22"/>
        </w:rPr>
        <w:t>Subparcel</w:t>
      </w:r>
      <w:r>
        <w:rPr>
          <w:szCs w:val="22"/>
        </w:rPr>
        <w:t xml:space="preserve"> A-1):</w:t>
      </w:r>
    </w:p>
    <w:p w:rsidR="000D1EAB" w:rsidRDefault="000D1EAB" w:rsidP="00AF11DC">
      <w:pPr>
        <w:pStyle w:val="BodyText"/>
      </w:pPr>
      <w:r>
        <w:t xml:space="preserve">The development of a Mixed Use Village Center in </w:t>
      </w:r>
      <w:r w:rsidR="0061063D">
        <w:t>Subparcel</w:t>
      </w:r>
      <w:r>
        <w:t xml:space="preserve"> A-1 shall not require the dedication of land for a school </w:t>
      </w:r>
      <w:r w:rsidR="00AD48D3">
        <w:t>site;</w:t>
      </w:r>
      <w:r>
        <w:t xml:space="preserve"> however, the School District will assess fees in lieu of land dedication in accordance with the School District IGA as </w:t>
      </w:r>
      <w:r w:rsidR="00DA4F70">
        <w:t>c</w:t>
      </w:r>
      <w:r>
        <w:t>ategory B (5 or more attached units).</w:t>
      </w:r>
    </w:p>
    <w:p w:rsidR="000D1EAB" w:rsidRDefault="000D1EAB" w:rsidP="00AC1023">
      <w:pPr>
        <w:pStyle w:val="ArticleL6"/>
      </w:pPr>
      <w:r>
        <w:t>(</w:t>
      </w:r>
      <w:r w:rsidR="0061063D">
        <w:t>Subparcel</w:t>
      </w:r>
      <w:r>
        <w:t>s A-2 and A-8):</w:t>
      </w:r>
    </w:p>
    <w:p w:rsidR="000D1EAB" w:rsidRDefault="000D1EAB" w:rsidP="00AF11DC">
      <w:pPr>
        <w:pStyle w:val="BodyText"/>
      </w:pPr>
      <w:r>
        <w:t xml:space="preserve">The Developer shall dedicate one 10-acre elementary school site within </w:t>
      </w:r>
      <w:r w:rsidR="0061063D">
        <w:t>Subparcel</w:t>
      </w:r>
      <w:r>
        <w:t xml:space="preserve"> A-2</w:t>
      </w:r>
      <w:r w:rsidR="00822CD3">
        <w:t>, A-5, A-6</w:t>
      </w:r>
      <w:r>
        <w:t xml:space="preserve"> or A-8 to the School District in accordance with the requirements of the School District IGA, the UDC to the extent not </w:t>
      </w:r>
      <w:r w:rsidR="00E97E7E">
        <w:t>I</w:t>
      </w:r>
      <w:r>
        <w:t xml:space="preserve">nconsistent </w:t>
      </w:r>
      <w:r w:rsidR="00E97E7E">
        <w:t>W</w:t>
      </w:r>
      <w:r>
        <w:t xml:space="preserve">ith the School District IGA, and the site selection criteria of the School District established by its current Master Plan.  So long as the dedicated site provides two points of roadway access and does not contain on-site detention, the size of such site shall be 10 acres.  If the foregoing conditions are not met with the site, the acreage may be increased, at the School District’s discretion, up to a total of 12 acres for such site, as needed to provide sufficient accessibility and developable acreage.  The timing of the dedication shall be in accordance with the requirements of the UDC and the School District IGA.  Any land dedicated for a school site, which land is subsequently conveyed to the Developer or others upon the School District’s determination that the land is not suitable for school purposes, shall remain subject to the Performance Standards and allowed uses for </w:t>
      </w:r>
      <w:r w:rsidR="0061063D">
        <w:t>Subparcel</w:t>
      </w:r>
      <w:r>
        <w:t>s A-2 and A-8 following such conveyance.  All land dedicated and used for school purposes shall remain subject to the Performance Standards to the extent consistent with State law.</w:t>
      </w:r>
    </w:p>
    <w:p w:rsidR="000D1EAB" w:rsidRDefault="000D1EAB" w:rsidP="00AF11DC">
      <w:pPr>
        <w:pStyle w:val="BodyText"/>
        <w:rPr>
          <w:b/>
          <w:bCs/>
        </w:rPr>
      </w:pPr>
      <w:r>
        <w:t>In accordance with an agreement between the Developer and the School District, the School District has agreed to work in good faith with the Centerra DRC (or its assignee) to provide a design for the school on the dedicated school site generally consistent with the architectural theme of the GDP, subject to budgetary constraints of the School District and to the final decision of the Board of Education of the School District.</w:t>
      </w:r>
    </w:p>
    <w:p w:rsidR="000D1EAB" w:rsidRDefault="000D1EAB" w:rsidP="00AC1023">
      <w:pPr>
        <w:pStyle w:val="ArticleL5"/>
      </w:pPr>
      <w:r>
        <w:t>TRANSPORTATION</w:t>
      </w:r>
    </w:p>
    <w:p w:rsidR="000D1EAB" w:rsidRDefault="000D1EAB" w:rsidP="00AC1023">
      <w:pPr>
        <w:pStyle w:val="ArticleL6"/>
      </w:pPr>
      <w:r>
        <w:rPr>
          <w:color w:val="000000"/>
        </w:rPr>
        <w:t xml:space="preserve">(Parcel A): </w:t>
      </w:r>
    </w:p>
    <w:p w:rsidR="000D1EAB" w:rsidRDefault="000D1EAB" w:rsidP="00AF11DC">
      <w:pPr>
        <w:pStyle w:val="BodyText"/>
      </w:pPr>
      <w:r>
        <w:t xml:space="preserve">To the extent that </w:t>
      </w:r>
      <w:r w:rsidR="00AE0CE0">
        <w:t>S</w:t>
      </w:r>
      <w:r>
        <w:t>treet and/or trail crossings of the existing railroads are required as a condition of a Development Project within Parcel A to meet the ACF Regulations and any approved exceptions thereto or other applicable UDC requirements, the City shall be responsible for processing the requests for Public Utilities Commission approval of such crossings, and the Applicant shall be responsible for the payment of the City’s reasonable costs incurred therefor, including reasonable attorney’s fees.</w:t>
      </w:r>
    </w:p>
    <w:p w:rsidR="000D1EAB" w:rsidRDefault="000D1EAB" w:rsidP="00AC1023">
      <w:pPr>
        <w:pStyle w:val="ArticleL6"/>
      </w:pPr>
      <w:r>
        <w:rPr>
          <w:bCs/>
        </w:rPr>
        <w:t>(</w:t>
      </w:r>
      <w:r w:rsidR="0061063D">
        <w:rPr>
          <w:bCs/>
        </w:rPr>
        <w:t>Subparcel</w:t>
      </w:r>
      <w:r>
        <w:rPr>
          <w:bCs/>
        </w:rPr>
        <w:t xml:space="preserve"> A-1):</w:t>
      </w:r>
    </w:p>
    <w:p w:rsidR="000D1EAB" w:rsidRDefault="000D1EAB" w:rsidP="00AF11DC">
      <w:pPr>
        <w:pStyle w:val="BodyText"/>
        <w:rPr>
          <w:u w:val="single"/>
        </w:rPr>
      </w:pPr>
      <w:r>
        <w:t xml:space="preserve">Unless designed and constructed by others, or otherwise approved by the City Engineer, </w:t>
      </w:r>
      <w:r w:rsidR="0026197E">
        <w:t xml:space="preserve">and if rationally related and roughly proportional to demand created by a Development Project </w:t>
      </w:r>
      <w:r w:rsidR="00211879">
        <w:t xml:space="preserve">and as agreed to by the City Engineer </w:t>
      </w:r>
      <w:r w:rsidR="0026197E">
        <w:t xml:space="preserve">and to the extent needed to comply with the ACF Regulations and any approved exceptions thereto, </w:t>
      </w:r>
      <w:r>
        <w:t xml:space="preserve">the Applicant shall design and construct, or cause to be designed and constructed at no cost to the City, Kendall Parkway from Centerra Parkway to US 34 to the standards required by the Transportation Plan and LCUASS. The necessity, timing, scope and phasing of such construction shall be determined during review and approval of future Development Projects within that portion of </w:t>
      </w:r>
      <w:r w:rsidR="0061063D">
        <w:t>Subparcel</w:t>
      </w:r>
      <w:r>
        <w:t xml:space="preserve"> A-1 formerly known as the Central Parcel on the Grange Addition.</w:t>
      </w:r>
    </w:p>
    <w:p w:rsidR="000D1EAB" w:rsidRDefault="000D1EAB" w:rsidP="00AC1023">
      <w:pPr>
        <w:pStyle w:val="ArticleL6"/>
        <w:rPr>
          <w:snapToGrid w:val="0"/>
        </w:rPr>
      </w:pPr>
      <w:r>
        <w:rPr>
          <w:bCs/>
          <w:snapToGrid w:val="0"/>
        </w:rPr>
        <w:t>(</w:t>
      </w:r>
      <w:r w:rsidR="0061063D">
        <w:rPr>
          <w:bCs/>
          <w:snapToGrid w:val="0"/>
        </w:rPr>
        <w:t>Subparcel</w:t>
      </w:r>
      <w:r>
        <w:rPr>
          <w:bCs/>
          <w:snapToGrid w:val="0"/>
        </w:rPr>
        <w:t>s A-1 through A-</w:t>
      </w:r>
      <w:r w:rsidR="00FD4705">
        <w:rPr>
          <w:bCs/>
          <w:snapToGrid w:val="0"/>
        </w:rPr>
        <w:t>8</w:t>
      </w:r>
      <w:r>
        <w:rPr>
          <w:bCs/>
          <w:snapToGrid w:val="0"/>
        </w:rPr>
        <w:t xml:space="preserve">): </w:t>
      </w:r>
    </w:p>
    <w:p w:rsidR="000D1EAB" w:rsidRDefault="000D1EAB" w:rsidP="00AF11DC">
      <w:pPr>
        <w:pStyle w:val="BodyText"/>
        <w:rPr>
          <w:color w:val="000000"/>
        </w:rPr>
      </w:pPr>
      <w:r>
        <w:t xml:space="preserve">Unless designed and constructed by others or by the City pursuant to the PVH Agreement, or otherwise approved by the City Engineer, </w:t>
      </w:r>
      <w:r w:rsidR="0026197E">
        <w:t xml:space="preserve">and if rationally related and roughly proportional to demand created by a Development Project </w:t>
      </w:r>
      <w:r w:rsidR="00211879">
        <w:t xml:space="preserve">and as agreed to by the City Engineer </w:t>
      </w:r>
      <w:r w:rsidR="0026197E">
        <w:t xml:space="preserve">and to the extent needed to comply with the ACF Regulations and any approved exceptions thereto, </w:t>
      </w:r>
      <w:r>
        <w:t xml:space="preserve">the Applicant shall design and construct, or cause to be designed and constructed at no cost to the City, the </w:t>
      </w:r>
      <w:r w:rsidR="00F01B5A">
        <w:t>following</w:t>
      </w:r>
      <w:r w:rsidR="00B05483">
        <w:t xml:space="preserve"> S</w:t>
      </w:r>
      <w:r>
        <w:t>treet improvements to the standards required by the Transportation Plan and LCUASS.</w:t>
      </w:r>
      <w:r>
        <w:rPr>
          <w:color w:val="000000"/>
        </w:rPr>
        <w:t xml:space="preserve">  The timing, scope and phasing of such construction shall be determined during review and approval of future Development Projects within </w:t>
      </w:r>
      <w:r w:rsidR="0061063D">
        <w:rPr>
          <w:color w:val="000000"/>
        </w:rPr>
        <w:t>Subparcel</w:t>
      </w:r>
      <w:r>
        <w:rPr>
          <w:color w:val="000000"/>
        </w:rPr>
        <w:t>s A-1 through A-</w:t>
      </w:r>
      <w:r w:rsidR="00FD4705">
        <w:rPr>
          <w:color w:val="000000"/>
        </w:rPr>
        <w:t>8</w:t>
      </w:r>
      <w:r>
        <w:rPr>
          <w:color w:val="000000"/>
        </w:rPr>
        <w:t>.</w:t>
      </w:r>
    </w:p>
    <w:p w:rsidR="00F01B5A" w:rsidRDefault="00F01B5A" w:rsidP="00AC1023">
      <w:pPr>
        <w:pStyle w:val="ArticleL7"/>
      </w:pPr>
      <w:r>
        <w:t xml:space="preserve">County Road 3 adjacent to </w:t>
      </w:r>
      <w:r w:rsidR="007D14A0">
        <w:t>Subp</w:t>
      </w:r>
      <w:r w:rsidRPr="007D14A0">
        <w:t>arcel</w:t>
      </w:r>
      <w:r w:rsidR="007D14A0" w:rsidRPr="007D14A0">
        <w:t>s</w:t>
      </w:r>
      <w:r w:rsidRPr="007D14A0">
        <w:t xml:space="preserve"> A</w:t>
      </w:r>
      <w:r w:rsidR="007D14A0">
        <w:t>-</w:t>
      </w:r>
      <w:r w:rsidR="00FD4705">
        <w:t>5</w:t>
      </w:r>
      <w:r w:rsidR="007D14A0">
        <w:t xml:space="preserve"> and A-7 </w:t>
      </w:r>
      <w:r>
        <w:t>to US 34</w:t>
      </w:r>
      <w:r w:rsidR="008B6106">
        <w:t xml:space="preserve">, which Street improvements are based on the traffic contribution of a Development Project(s); </w:t>
      </w:r>
      <w:r w:rsidR="002864E4">
        <w:rPr>
          <w:bCs/>
        </w:rPr>
        <w:t>when a traffic study for a Development Project warrants the Street improvements</w:t>
      </w:r>
      <w:r w:rsidR="00421559">
        <w:rPr>
          <w:bCs/>
        </w:rPr>
        <w:t xml:space="preserve">, </w:t>
      </w:r>
      <w:r w:rsidR="005B0B77">
        <w:rPr>
          <w:bCs/>
        </w:rPr>
        <w:t>in accordance with LCUASS</w:t>
      </w:r>
      <w:r w:rsidR="008B6106">
        <w:t>.</w:t>
      </w:r>
      <w:r w:rsidR="00421559" w:rsidRPr="00421559">
        <w:t xml:space="preserve"> </w:t>
      </w:r>
      <w:r w:rsidR="002F39C5">
        <w:t>Any</w:t>
      </w:r>
      <w:r w:rsidR="00421559" w:rsidRPr="00554ADF">
        <w:t xml:space="preserve"> reimbursement shall be in compliance with the City’s standard reimbursement policies</w:t>
      </w:r>
      <w:r w:rsidR="00421559">
        <w:t>.</w:t>
      </w:r>
    </w:p>
    <w:p w:rsidR="00F01B5A" w:rsidRDefault="00F01B5A" w:rsidP="00AC1023">
      <w:pPr>
        <w:pStyle w:val="ArticleL7"/>
        <w:rPr>
          <w:color w:val="000000"/>
        </w:rPr>
      </w:pPr>
      <w:r w:rsidRPr="00F01B5A">
        <w:rPr>
          <w:color w:val="000000"/>
        </w:rPr>
        <w:t>Kendall Parkway from Sky Pond Dr</w:t>
      </w:r>
      <w:r>
        <w:rPr>
          <w:color w:val="000000"/>
        </w:rPr>
        <w:t>ive</w:t>
      </w:r>
      <w:r w:rsidRPr="00F01B5A">
        <w:rPr>
          <w:color w:val="000000"/>
        </w:rPr>
        <w:t xml:space="preserve"> to </w:t>
      </w:r>
      <w:r>
        <w:rPr>
          <w:color w:val="000000"/>
        </w:rPr>
        <w:t>US</w:t>
      </w:r>
      <w:r w:rsidRPr="00F01B5A">
        <w:rPr>
          <w:color w:val="000000"/>
        </w:rPr>
        <w:t xml:space="preserve"> 34</w:t>
      </w:r>
      <w:r w:rsidR="000636D6">
        <w:rPr>
          <w:color w:val="000000"/>
        </w:rPr>
        <w:t xml:space="preserve"> and Kendall Parkway from the west mall entrance </w:t>
      </w:r>
      <w:r w:rsidR="000636D6">
        <w:t>to I-25 Colorado Department of Transportation Park and Ride</w:t>
      </w:r>
      <w:r>
        <w:rPr>
          <w:color w:val="000000"/>
        </w:rPr>
        <w:t>.</w:t>
      </w:r>
    </w:p>
    <w:p w:rsidR="00F01B5A" w:rsidRDefault="00F01B5A" w:rsidP="00AC1023">
      <w:pPr>
        <w:pStyle w:val="ArticleL7"/>
        <w:rPr>
          <w:color w:val="000000"/>
        </w:rPr>
      </w:pPr>
      <w:r w:rsidRPr="00F01B5A">
        <w:rPr>
          <w:color w:val="000000"/>
        </w:rPr>
        <w:t>Clydesdale Dr</w:t>
      </w:r>
      <w:r>
        <w:rPr>
          <w:color w:val="000000"/>
        </w:rPr>
        <w:t>ive</w:t>
      </w:r>
      <w:r w:rsidR="000636D6">
        <w:rPr>
          <w:color w:val="000000"/>
        </w:rPr>
        <w:t>/Elk River Drive</w:t>
      </w:r>
      <w:r w:rsidRPr="00F01B5A">
        <w:rPr>
          <w:color w:val="000000"/>
        </w:rPr>
        <w:t xml:space="preserve"> from north property line to </w:t>
      </w:r>
      <w:r w:rsidR="00FD4705">
        <w:rPr>
          <w:color w:val="000000"/>
        </w:rPr>
        <w:t>County Road 3</w:t>
      </w:r>
      <w:r>
        <w:rPr>
          <w:color w:val="000000"/>
        </w:rPr>
        <w:t>.</w:t>
      </w:r>
    </w:p>
    <w:p w:rsidR="00FD4705" w:rsidRDefault="00FD4705" w:rsidP="00AC1023">
      <w:pPr>
        <w:pStyle w:val="ArticleL7"/>
        <w:rPr>
          <w:color w:val="000000"/>
        </w:rPr>
      </w:pPr>
      <w:r>
        <w:rPr>
          <w:color w:val="000000"/>
        </w:rPr>
        <w:t>Kinston Parkway from Silverheels Drive to County Road 3.</w:t>
      </w:r>
    </w:p>
    <w:p w:rsidR="000D1EAB" w:rsidRDefault="000D1EAB" w:rsidP="00AC1023">
      <w:pPr>
        <w:pStyle w:val="ArticleL6"/>
      </w:pPr>
      <w:r>
        <w:t>(</w:t>
      </w:r>
      <w:r w:rsidR="00A30F8B">
        <w:t>Subparcel</w:t>
      </w:r>
      <w:r>
        <w:t xml:space="preserve"> A-5): </w:t>
      </w:r>
    </w:p>
    <w:p w:rsidR="000D1EAB" w:rsidRDefault="000D1EAB" w:rsidP="00AF11DC">
      <w:pPr>
        <w:pStyle w:val="BodyText"/>
      </w:pPr>
      <w:r>
        <w:t xml:space="preserve">Prior to or concurrent with the approval of any Development Project or </w:t>
      </w:r>
      <w:r w:rsidR="006C13C2">
        <w:t xml:space="preserve">GDP </w:t>
      </w:r>
      <w:r>
        <w:t xml:space="preserve">Final Plat within </w:t>
      </w:r>
      <w:r w:rsidR="00A30F8B">
        <w:t>Subparcel</w:t>
      </w:r>
      <w:r>
        <w:t xml:space="preserve"> A-5, or as otherwise approved by the City Engineer, the owner shall dedicate, at no cost to the City, the </w:t>
      </w:r>
      <w:r w:rsidR="00210725">
        <w:t>R</w:t>
      </w:r>
      <w:r>
        <w:t>ight-of-</w:t>
      </w:r>
      <w:r w:rsidR="00210725">
        <w:t>W</w:t>
      </w:r>
      <w:r>
        <w:t xml:space="preserve">ay necessary for all </w:t>
      </w:r>
      <w:r w:rsidR="00AE0CE0">
        <w:t>S</w:t>
      </w:r>
      <w:r>
        <w:t xml:space="preserve">treet improvements either within or adjacent to said Development Project or </w:t>
      </w:r>
      <w:r w:rsidR="006C13C2">
        <w:t xml:space="preserve">GDP </w:t>
      </w:r>
      <w:r>
        <w:t>Final Plat that are shown on the Transportation Plan.</w:t>
      </w:r>
    </w:p>
    <w:p w:rsidR="000D1EAB" w:rsidRDefault="000D1EAB" w:rsidP="00AC1023">
      <w:pPr>
        <w:pStyle w:val="ArticleL5"/>
      </w:pPr>
      <w:r>
        <w:t>UTILITIES</w:t>
      </w:r>
    </w:p>
    <w:p w:rsidR="000D1EAB" w:rsidRDefault="000D1EAB" w:rsidP="00AC1023">
      <w:pPr>
        <w:pStyle w:val="ArticleL6"/>
      </w:pPr>
      <w:r>
        <w:t>(</w:t>
      </w:r>
      <w:r w:rsidR="00A30F8B">
        <w:t>Subparcel</w:t>
      </w:r>
      <w:r>
        <w:t xml:space="preserve"> A-1):</w:t>
      </w:r>
    </w:p>
    <w:p w:rsidR="000D1EAB" w:rsidRDefault="000D1EAB" w:rsidP="00AF11DC">
      <w:pPr>
        <w:pStyle w:val="BodyText"/>
      </w:pPr>
      <w:r>
        <w:t xml:space="preserve">At least 30 </w:t>
      </w:r>
      <w:r w:rsidR="0090614D">
        <w:t>D</w:t>
      </w:r>
      <w:r>
        <w:t xml:space="preserve">ays prior to the public hearing before the Planning Commission for the first Development Project within a Mixed Use Village Center, the Developer shall submit water demand projections and wastewater load projections for said project to the City’s Water and Power Department.  Based on such projections, the City shall update its water model to reflect the water demand projections for the Development Project and the Developer shall update its wastewater model for property east of I-25 to reflect the wastewater load projections for the Development Project.  The updated models shall be reviewed and approved by the City’s Water and Power Department prior to the public hearing of the City Council on the Development Project.  Pending the Water and Power Department’s approval of the updated models, which include the 850 </w:t>
      </w:r>
      <w:r w:rsidR="000F68FF">
        <w:t>D</w:t>
      </w:r>
      <w:r>
        <w:t xml:space="preserve">welling </w:t>
      </w:r>
      <w:r w:rsidR="000F68FF">
        <w:t>U</w:t>
      </w:r>
      <w:r>
        <w:t xml:space="preserve">nits proposed in </w:t>
      </w:r>
      <w:r w:rsidR="00A30F8B">
        <w:t>Subparcel</w:t>
      </w:r>
      <w:r>
        <w:t xml:space="preserve"> A-1, the Developer shall be responsible for capacity increases in water and wastewater conveyance components including all piping and sanitary sewer lift stations as well as I-25 crossings, but excluding water and wastewater treatment facilities.</w:t>
      </w:r>
    </w:p>
    <w:p w:rsidR="000D1EAB" w:rsidRDefault="000D1EAB" w:rsidP="00AC1023">
      <w:pPr>
        <w:pStyle w:val="ArticleL6"/>
      </w:pPr>
      <w:r>
        <w:t>(</w:t>
      </w:r>
      <w:r w:rsidR="00A30F8B">
        <w:t>Subparcel</w:t>
      </w:r>
      <w:r>
        <w:t xml:space="preserve"> A-1):</w:t>
      </w:r>
    </w:p>
    <w:p w:rsidR="000D1EAB" w:rsidRDefault="000D1EAB" w:rsidP="00AF11DC">
      <w:pPr>
        <w:pStyle w:val="BodyText"/>
        <w:rPr>
          <w:color w:val="000000"/>
        </w:rPr>
      </w:pPr>
      <w:r>
        <w:t>Unless designed and constructed by others or otherwise approved by the Director of the Water and Power Department, the Developer shall design and construct, or cause to be designed and constructed, at no cost to the City, the following water and sanitary sewer improvements to City standards.</w:t>
      </w:r>
      <w:r>
        <w:rPr>
          <w:color w:val="000000"/>
        </w:rPr>
        <w:t xml:space="preserve">  The exact size and location of each improvement and the timing, scope and phasing of such construction shall be determined during review and approval of future Development Projects within that portion of </w:t>
      </w:r>
      <w:r w:rsidR="00A30F8B">
        <w:rPr>
          <w:color w:val="000000"/>
        </w:rPr>
        <w:t>Subparcel</w:t>
      </w:r>
      <w:r>
        <w:rPr>
          <w:color w:val="000000"/>
        </w:rPr>
        <w:t xml:space="preserve"> A-1 known as the Central Parcel of the Grange Addition.</w:t>
      </w:r>
    </w:p>
    <w:p w:rsidR="000D1EAB" w:rsidRDefault="000D1EAB" w:rsidP="00AC1023">
      <w:pPr>
        <w:pStyle w:val="ArticleL7"/>
      </w:pPr>
      <w:r>
        <w:t>A water main in Kendall Parkway from Centerra Parkway to US 34.</w:t>
      </w:r>
    </w:p>
    <w:p w:rsidR="0037519C" w:rsidRDefault="0037519C" w:rsidP="00AC1023">
      <w:pPr>
        <w:pStyle w:val="ArticleL7"/>
      </w:pPr>
      <w:r>
        <w:t>A water main along the north side of US 3</w:t>
      </w:r>
      <w:r w:rsidR="00F65B8B">
        <w:t>4</w:t>
      </w:r>
      <w:r>
        <w:t xml:space="preserve"> from Centerra Parkway to the east boundary of Subparcel A-1 with a connection to the water main described in subparagraph (a) above.</w:t>
      </w:r>
    </w:p>
    <w:p w:rsidR="0037519C" w:rsidRDefault="0037519C" w:rsidP="00AC1023">
      <w:pPr>
        <w:pStyle w:val="ArticleL7"/>
      </w:pPr>
      <w:r>
        <w:t>A water main through that portion of Subparcel A-1 known as the Central Parcel of the Grange Addition with two points of connection.</w:t>
      </w:r>
    </w:p>
    <w:p w:rsidR="000D1EAB" w:rsidRDefault="000D1EAB" w:rsidP="00AC1023">
      <w:pPr>
        <w:pStyle w:val="ArticleL7"/>
      </w:pPr>
      <w:r w:rsidRPr="001141E1">
        <w:t xml:space="preserve">Extension of the existing wastewater main located near US 34 and Centerra Parkway north of the Union Pacific Railroad </w:t>
      </w:r>
      <w:r w:rsidRPr="001141E1">
        <w:rPr>
          <w:bCs/>
        </w:rPr>
        <w:t>tracks</w:t>
      </w:r>
      <w:r w:rsidRPr="001141E1">
        <w:t xml:space="preserve"> to the east boundary of </w:t>
      </w:r>
      <w:r w:rsidR="00A30F8B">
        <w:t>Subparcel</w:t>
      </w:r>
      <w:r w:rsidRPr="001141E1">
        <w:t xml:space="preserve"> A-1 and north to </w:t>
      </w:r>
      <w:r w:rsidRPr="001141E1">
        <w:rPr>
          <w:color w:val="000000"/>
        </w:rPr>
        <w:t>the</w:t>
      </w:r>
      <w:r w:rsidRPr="001141E1">
        <w:t xml:space="preserve"> north boundary of </w:t>
      </w:r>
      <w:r w:rsidR="00A30F8B">
        <w:t>Subparcel</w:t>
      </w:r>
      <w:r w:rsidRPr="001141E1">
        <w:t xml:space="preserve"> A-1, with sufficient capacity to accommodate wastewater flows from that portion of </w:t>
      </w:r>
      <w:r w:rsidR="00A30F8B">
        <w:t>Subparcel</w:t>
      </w:r>
      <w:r w:rsidRPr="001141E1">
        <w:t xml:space="preserve"> A-1 </w:t>
      </w:r>
      <w:r w:rsidRPr="001141E1">
        <w:rPr>
          <w:color w:val="000000"/>
        </w:rPr>
        <w:t>known as the Central Parcel of the Grange Addition</w:t>
      </w:r>
      <w:r w:rsidRPr="001141E1">
        <w:t xml:space="preserve"> and future development adjacent to such property.</w:t>
      </w:r>
    </w:p>
    <w:p w:rsidR="0037519C" w:rsidRPr="001141E1" w:rsidRDefault="0037519C" w:rsidP="00AC1023">
      <w:pPr>
        <w:pStyle w:val="ArticleL7"/>
      </w:pPr>
      <w:r>
        <w:t>The Interchange Lift Station with appropriate mains and force mains, as described in the Technical Supplement to the Centerra Wastewater Master Plan dated February, 2005. This is complete.</w:t>
      </w:r>
    </w:p>
    <w:p w:rsidR="000D1EAB" w:rsidRDefault="000D1EAB" w:rsidP="00AC1023">
      <w:pPr>
        <w:pStyle w:val="ArticleL6"/>
      </w:pPr>
      <w:r>
        <w:t>(</w:t>
      </w:r>
      <w:r w:rsidR="00A30F8B">
        <w:t>Subparcel</w:t>
      </w:r>
      <w:r>
        <w:t>s A-6 and A-7):</w:t>
      </w:r>
    </w:p>
    <w:p w:rsidR="000D1EAB" w:rsidRDefault="000D1EAB" w:rsidP="00AF11DC">
      <w:pPr>
        <w:pStyle w:val="BodyText"/>
        <w:rPr>
          <w:color w:val="000000"/>
        </w:rPr>
      </w:pPr>
      <w:r>
        <w:t xml:space="preserve">Unless designed and constructed by others or otherwise approved by the Director of the Water and Power Department, the Developer shall design and construct, or cause to be designed and constructed at no cost to the City, the following water and </w:t>
      </w:r>
      <w:r w:rsidR="006869BA">
        <w:t xml:space="preserve">wastewater </w:t>
      </w:r>
      <w:r>
        <w:t>improvements to City standards.</w:t>
      </w:r>
      <w:r>
        <w:rPr>
          <w:color w:val="000000"/>
        </w:rPr>
        <w:t xml:space="preserve">  The exact size, location and capacity of each improvement and the timing, scope and phasing of such construction shall be determined during review and approval of future Development Projects within </w:t>
      </w:r>
      <w:r w:rsidR="00A30F8B">
        <w:rPr>
          <w:color w:val="000000"/>
        </w:rPr>
        <w:t>Subparcel</w:t>
      </w:r>
      <w:r>
        <w:rPr>
          <w:color w:val="000000"/>
        </w:rPr>
        <w:t>s A-6 and A-7.</w:t>
      </w:r>
    </w:p>
    <w:p w:rsidR="0037519C" w:rsidRDefault="0037519C" w:rsidP="00AC1023">
      <w:pPr>
        <w:pStyle w:val="ArticleL7"/>
      </w:pPr>
      <w:r>
        <w:t>A water main</w:t>
      </w:r>
      <w:r w:rsidR="00697BB7">
        <w:t xml:space="preserve"> </w:t>
      </w:r>
      <w:r>
        <w:t>along the north side of US 34 from Centerra Parkway to the easternmost improvement within Subparcel A-7</w:t>
      </w:r>
      <w:r w:rsidR="00697BB7">
        <w:t xml:space="preserve">, as well as looping through the </w:t>
      </w:r>
      <w:r w:rsidR="002E4386">
        <w:t>Subparcel</w:t>
      </w:r>
      <w:r w:rsidR="00697BB7">
        <w:t xml:space="preserve"> with a minimum of two points of connection to the water main in Centerra Parkway</w:t>
      </w:r>
      <w:r>
        <w:t>.</w:t>
      </w:r>
    </w:p>
    <w:p w:rsidR="0037519C" w:rsidRDefault="0037519C" w:rsidP="00AC1023">
      <w:pPr>
        <w:pStyle w:val="ArticleL7"/>
      </w:pPr>
      <w:r>
        <w:t>A water main through Subparcels A-6 and A-7 with two points of connection to the water main described in subparagraph (a) above.</w:t>
      </w:r>
    </w:p>
    <w:p w:rsidR="000D1EAB" w:rsidRDefault="000D1EAB" w:rsidP="00AC1023">
      <w:pPr>
        <w:pStyle w:val="ArticleL7"/>
      </w:pPr>
      <w:r>
        <w:t xml:space="preserve">A secondary water main connection between a water main within </w:t>
      </w:r>
      <w:r w:rsidR="00A30F8B">
        <w:t>Subparcel</w:t>
      </w:r>
      <w:r>
        <w:t>s A-6 and A-7 and a water main in Centerra Parkway.</w:t>
      </w:r>
    </w:p>
    <w:p w:rsidR="0037519C" w:rsidRDefault="0037519C" w:rsidP="00AC1023">
      <w:pPr>
        <w:pStyle w:val="ArticleL7"/>
      </w:pPr>
      <w:r>
        <w:t>Extension of the existing wastewater main located near US 34 and Centerra Parkway north of the Union Pacific Railroad tracks to the easternmost improvement within Subparcel A-7, with sufficient capacity to accommodate wastewater flows from Subparcels A-6 and A-7 and future development adjacent to such Subparcels.</w:t>
      </w:r>
    </w:p>
    <w:p w:rsidR="0037519C" w:rsidRDefault="0037519C" w:rsidP="00AC1023">
      <w:pPr>
        <w:pStyle w:val="ArticleL7"/>
      </w:pPr>
      <w:r>
        <w:t>The Interchange Lift Station with appropriate mains and force mains, as described in the Technical Supplement to the Centerra Wastewater Master Plan dated February, 2005. This is complete.</w:t>
      </w:r>
    </w:p>
    <w:p w:rsidR="000D1EAB" w:rsidRDefault="000D1EAB" w:rsidP="00AC1023">
      <w:pPr>
        <w:pStyle w:val="ArticleL6"/>
      </w:pPr>
      <w:r>
        <w:t>(</w:t>
      </w:r>
      <w:r w:rsidR="00A30F8B">
        <w:t>Subparcel</w:t>
      </w:r>
      <w:r>
        <w:t>s A-1, A-6 and A-7):</w:t>
      </w:r>
    </w:p>
    <w:p w:rsidR="000E3E38" w:rsidRPr="000E3E38" w:rsidRDefault="000D1EAB" w:rsidP="00E10403">
      <w:pPr>
        <w:pStyle w:val="BodyText"/>
        <w:rPr>
          <w:b/>
          <w:bCs/>
        </w:rPr>
      </w:pPr>
      <w:r>
        <w:t>Any reimbursement for the East Side Lift Station shall be in accordance with that Reimbursement Agreement by and between the Developer and the City of Loveland Water Department dated September 7, 2004.</w:t>
      </w:r>
    </w:p>
    <w:sectPr w:rsidR="000E3E38" w:rsidRPr="000E3E38" w:rsidSect="00FC52B3">
      <w:headerReference w:type="even" r:id="rId14"/>
      <w:headerReference w:type="default" r:id="rId15"/>
      <w:footerReference w:type="even" r:id="rId16"/>
      <w:footerReference w:type="default" r:id="rId17"/>
      <w:pgSz w:w="12240" w:h="15840" w:code="1"/>
      <w:pgMar w:top="1627" w:right="1080" w:bottom="1440" w:left="1440" w:header="720" w:footer="720" w:gutter="0"/>
      <w:pgNumType w:start="1"/>
      <w:cols w:num="2" w:space="432"/>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A6A" w:rsidRDefault="00877A6A" w:rsidP="00AF11DC">
      <w:r>
        <w:separator/>
      </w:r>
    </w:p>
  </w:endnote>
  <w:endnote w:type="continuationSeparator" w:id="0">
    <w:p w:rsidR="00877A6A" w:rsidRDefault="00877A6A" w:rsidP="00AF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52E" w:rsidRDefault="008C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326"/>
      <w:gridCol w:w="1008"/>
      <w:gridCol w:w="4326"/>
    </w:tblGrid>
    <w:tr w:rsidR="00AF11DC" w:rsidTr="00AF11DC">
      <w:trPr>
        <w:jc w:val="center"/>
      </w:trPr>
      <w:tc>
        <w:tcPr>
          <w:tcW w:w="4326" w:type="dxa"/>
        </w:tcPr>
        <w:p w:rsidR="00AF11DC" w:rsidRDefault="00AF11DC">
          <w:pPr>
            <w:pStyle w:val="Footer"/>
          </w:pPr>
        </w:p>
      </w:tc>
      <w:tc>
        <w:tcPr>
          <w:tcW w:w="1008" w:type="dxa"/>
        </w:tcPr>
        <w:p w:rsidR="00AF11DC" w:rsidRDefault="00AF11DC">
          <w:pPr>
            <w:pStyle w:val="Foote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w:t>
          </w:r>
        </w:p>
      </w:tc>
      <w:tc>
        <w:tcPr>
          <w:tcW w:w="4326" w:type="dxa"/>
        </w:tcPr>
        <w:p w:rsidR="00AF11DC" w:rsidRDefault="00AF11DC">
          <w:pPr>
            <w:pStyle w:val="Footer"/>
          </w:pPr>
        </w:p>
      </w:tc>
    </w:tr>
  </w:tbl>
  <w:p w:rsidR="008C252E" w:rsidRDefault="00B91295">
    <w:pPr>
      <w:pStyle w:val="Footer"/>
    </w:pPr>
    <w:r>
      <w:rPr>
        <w:noProof/>
      </w:rPr>
      <mc:AlternateContent>
        <mc:Choice Requires="wps">
          <w:drawing>
            <wp:anchor distT="0" distB="0" distL="114300" distR="114300" simplePos="0" relativeHeight="251656704" behindDoc="1" locked="0" layoutInCell="1" allowOverlap="1">
              <wp:simplePos x="0" y="0"/>
              <wp:positionH relativeFrom="margin">
                <wp:posOffset>0</wp:posOffset>
              </wp:positionH>
              <wp:positionV relativeFrom="paragraph">
                <wp:posOffset>0</wp:posOffset>
              </wp:positionV>
              <wp:extent cx="2560320" cy="2559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rsidR="008C252E" w:rsidRDefault="008C252E">
                          <w:pPr>
                            <w:pStyle w:val="MacPacTrailer"/>
                          </w:pPr>
                          <w:r>
                            <w:t>22625256.13</w:t>
                          </w:r>
                        </w:p>
                        <w:p w:rsidR="008C252E" w:rsidRDefault="008C252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rsidR="008C252E" w:rsidRDefault="008C252E">
                    <w:pPr>
                      <w:pStyle w:val="MacPacTrailer"/>
                    </w:pPr>
                    <w:r>
                      <w:t>22625256.13</w:t>
                    </w:r>
                  </w:p>
                  <w:p w:rsidR="008C252E" w:rsidRDefault="008C252E">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326"/>
      <w:gridCol w:w="1008"/>
      <w:gridCol w:w="4326"/>
    </w:tblGrid>
    <w:tr w:rsidR="00AF11DC" w:rsidTr="00AF11DC">
      <w:trPr>
        <w:jc w:val="center"/>
      </w:trPr>
      <w:tc>
        <w:tcPr>
          <w:tcW w:w="4326" w:type="dxa"/>
        </w:tcPr>
        <w:p w:rsidR="00564314" w:rsidRPr="00564314" w:rsidRDefault="00564314" w:rsidP="00564314">
          <w:bookmarkStart w:id="2" w:name="zzmpTOCFooter"/>
        </w:p>
      </w:tc>
      <w:tc>
        <w:tcPr>
          <w:tcW w:w="1008" w:type="dxa"/>
        </w:tcPr>
        <w:p w:rsidR="00564314" w:rsidRPr="009D27A1" w:rsidRDefault="00AF11DC">
          <w:pPr>
            <w:pStyle w:val="Footer"/>
            <w:jc w:val="center"/>
            <w:rPr>
              <w:rStyle w:val="PageNumber"/>
              <w:b/>
              <w:bCs/>
            </w:rPr>
          </w:pPr>
          <w:r w:rsidRPr="00564314">
            <w:rPr>
              <w:rStyle w:val="PageNumber"/>
              <w:b/>
              <w:bCs/>
            </w:rPr>
            <w:t>-</w:t>
          </w:r>
          <w:r w:rsidRPr="00564314">
            <w:rPr>
              <w:rStyle w:val="PageNumber"/>
            </w:rPr>
            <w:fldChar w:fldCharType="begin"/>
          </w:r>
          <w:r w:rsidRPr="00564314">
            <w:rPr>
              <w:rStyle w:val="PageNumber"/>
            </w:rPr>
            <w:instrText xml:space="preserve"> PAGE  \* MERGEFORMAT </w:instrText>
          </w:r>
          <w:r w:rsidRPr="00564314">
            <w:rPr>
              <w:rStyle w:val="PageNumber"/>
            </w:rPr>
            <w:fldChar w:fldCharType="separate"/>
          </w:r>
          <w:r w:rsidRPr="00564314">
            <w:rPr>
              <w:rStyle w:val="PageNumber"/>
              <w:noProof/>
            </w:rPr>
            <w:t>1</w:t>
          </w:r>
          <w:r w:rsidRPr="00564314">
            <w:rPr>
              <w:rStyle w:val="PageNumber"/>
            </w:rPr>
            <w:fldChar w:fldCharType="end"/>
          </w:r>
          <w:r w:rsidRPr="00564314">
            <w:rPr>
              <w:rStyle w:val="PageNumber"/>
              <w:b/>
              <w:bCs/>
            </w:rPr>
            <w:t>-</w:t>
          </w:r>
        </w:p>
      </w:tc>
      <w:tc>
        <w:tcPr>
          <w:tcW w:w="4326" w:type="dxa"/>
        </w:tcPr>
        <w:p w:rsidR="00AF11DC" w:rsidRDefault="00AF11DC">
          <w:pPr>
            <w:pStyle w:val="Footer"/>
          </w:pPr>
        </w:p>
      </w:tc>
    </w:tr>
  </w:tbl>
  <w:bookmarkEnd w:id="2"/>
  <w:p w:rsidR="008C252E" w:rsidRDefault="00B91295">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rsidR="008C252E" w:rsidRDefault="008C252E">
                          <w:pPr>
                            <w:pStyle w:val="MacPacTrailer"/>
                          </w:pPr>
                          <w:r>
                            <w:t>22625256.13</w:t>
                          </w:r>
                        </w:p>
                        <w:p w:rsidR="008C252E" w:rsidRDefault="008C252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rsidR="008C252E" w:rsidRDefault="008C252E">
                    <w:pPr>
                      <w:pStyle w:val="MacPacTrailer"/>
                    </w:pPr>
                    <w:r>
                      <w:t>22625256.13</w:t>
                    </w:r>
                  </w:p>
                  <w:p w:rsidR="008C252E" w:rsidRDefault="008C252E">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7F7" w:rsidRDefault="00DF27F7" w:rsidP="00471EC5">
    <w:pPr>
      <w:pBdr>
        <w:top w:val="single" w:sz="8" w:space="1" w:color="auto"/>
      </w:pBdr>
      <w:tabs>
        <w:tab w:val="left" w:pos="4500"/>
      </w:tabs>
      <w:jc w:val="both"/>
      <w:rPr>
        <w:iCs/>
        <w:sz w:val="18"/>
      </w:rPr>
    </w:pPr>
    <w:r>
      <w:rPr>
        <w:sz w:val="18"/>
      </w:rPr>
      <w:t>2-</w:t>
    </w:r>
    <w:r>
      <w:rPr>
        <w:sz w:val="18"/>
      </w:rPr>
      <w:fldChar w:fldCharType="begin"/>
    </w:r>
    <w:r>
      <w:rPr>
        <w:sz w:val="18"/>
      </w:rPr>
      <w:instrText xml:space="preserve"> PAGE </w:instrText>
    </w:r>
    <w:r>
      <w:rPr>
        <w:sz w:val="18"/>
      </w:rPr>
      <w:fldChar w:fldCharType="separate"/>
    </w:r>
    <w:r w:rsidR="00F258B7">
      <w:rPr>
        <w:noProof/>
        <w:sz w:val="18"/>
      </w:rPr>
      <w:t>6</w:t>
    </w:r>
    <w:r>
      <w:rPr>
        <w:sz w:val="18"/>
      </w:rPr>
      <w:fldChar w:fldCharType="end"/>
    </w:r>
    <w:r w:rsidR="00813FF2">
      <w:rPr>
        <w:sz w:val="18"/>
      </w:rPr>
      <w:tab/>
    </w:r>
    <w:r w:rsidR="00813FF2">
      <w:rPr>
        <w:iCs/>
        <w:sz w:val="18"/>
      </w:rPr>
      <w:t xml:space="preserve">Section 2. PARCEL A. Major </w:t>
    </w:r>
    <w:r w:rsidR="00245E78">
      <w:rPr>
        <w:iCs/>
        <w:sz w:val="18"/>
      </w:rPr>
      <w:t>Amendment 12</w:t>
    </w:r>
    <w:r w:rsidR="00813FF2">
      <w:rPr>
        <w:iCs/>
        <w:sz w:val="18"/>
      </w:rPr>
      <w:t xml:space="preserve">. </w:t>
    </w:r>
    <w:r w:rsidR="001D588B">
      <w:rPr>
        <w:iCs/>
        <w:sz w:val="18"/>
      </w:rPr>
      <w:t xml:space="preserve">DRAFT </w:t>
    </w:r>
    <w:r w:rsidR="00A22FE0">
      <w:rPr>
        <w:iCs/>
        <w:sz w:val="18"/>
      </w:rPr>
      <w:t>August 2023</w:t>
    </w:r>
  </w:p>
  <w:p w:rsidR="00DB641A" w:rsidRPr="00915872" w:rsidRDefault="00DB641A" w:rsidP="00DB641A">
    <w:pP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598A" w:rsidRDefault="00471EC5" w:rsidP="00AA1108">
    <w:pPr>
      <w:widowControl w:val="0"/>
      <w:pBdr>
        <w:top w:val="single" w:sz="8" w:space="0" w:color="auto"/>
      </w:pBdr>
      <w:tabs>
        <w:tab w:val="center" w:pos="9630"/>
        <w:tab w:val="right" w:pos="9720"/>
      </w:tabs>
      <w:spacing w:before="20" w:after="40"/>
      <w:jc w:val="both"/>
      <w:rPr>
        <w:iCs/>
        <w:sz w:val="18"/>
      </w:rPr>
    </w:pPr>
    <w:r>
      <w:rPr>
        <w:iCs/>
        <w:sz w:val="18"/>
      </w:rPr>
      <w:t xml:space="preserve">Section 2. PARCEL A. Major </w:t>
    </w:r>
    <w:r w:rsidR="00245E78">
      <w:rPr>
        <w:iCs/>
        <w:sz w:val="18"/>
      </w:rPr>
      <w:t>Amendment 12</w:t>
    </w:r>
    <w:r>
      <w:rPr>
        <w:iCs/>
        <w:sz w:val="18"/>
      </w:rPr>
      <w:t xml:space="preserve">. DRAFT </w:t>
    </w:r>
    <w:r w:rsidR="00A22FE0">
      <w:rPr>
        <w:iCs/>
        <w:sz w:val="18"/>
      </w:rPr>
      <w:t>August 2023</w:t>
    </w:r>
    <w:r w:rsidR="00DF27F7">
      <w:rPr>
        <w:iCs/>
        <w:sz w:val="18"/>
      </w:rPr>
      <w:tab/>
      <w:t>2-</w:t>
    </w:r>
    <w:r w:rsidR="00DF27F7">
      <w:rPr>
        <w:iCs/>
        <w:sz w:val="18"/>
      </w:rPr>
      <w:fldChar w:fldCharType="begin"/>
    </w:r>
    <w:r w:rsidR="00DF27F7">
      <w:rPr>
        <w:iCs/>
        <w:sz w:val="18"/>
      </w:rPr>
      <w:instrText xml:space="preserve"> PAGE </w:instrText>
    </w:r>
    <w:r w:rsidR="00DF27F7">
      <w:rPr>
        <w:iCs/>
        <w:sz w:val="18"/>
      </w:rPr>
      <w:fldChar w:fldCharType="separate"/>
    </w:r>
    <w:r w:rsidR="00F258B7">
      <w:rPr>
        <w:iCs/>
        <w:noProof/>
        <w:sz w:val="18"/>
      </w:rPr>
      <w:t>5</w:t>
    </w:r>
    <w:r w:rsidR="00DF27F7">
      <w:rPr>
        <w:iCs/>
        <w:sz w:val="18"/>
      </w:rPr>
      <w:fldChar w:fldCharType="end"/>
    </w:r>
  </w:p>
  <w:p w:rsidR="008C252E" w:rsidRDefault="00B91295" w:rsidP="0076303D">
    <w:pPr>
      <w:pStyle w:val="Foote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rsidR="008C252E" w:rsidRDefault="008C252E" w:rsidP="0076303D">
                          <w:pPr>
                            <w:pStyle w:val="MacPacTrailer"/>
                          </w:pPr>
                          <w:r>
                            <w:t>22625256.13</w:t>
                          </w:r>
                        </w:p>
                        <w:p w:rsidR="008C252E" w:rsidRDefault="008C252E" w:rsidP="0076303D">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201.6pt;height:2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rsidR="008C252E" w:rsidRDefault="008C252E" w:rsidP="0076303D">
                    <w:pPr>
                      <w:pStyle w:val="MacPacTrailer"/>
                    </w:pPr>
                    <w:r>
                      <w:t>22625256.13</w:t>
                    </w:r>
                  </w:p>
                  <w:p w:rsidR="008C252E" w:rsidRDefault="008C252E" w:rsidP="0076303D">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A6A" w:rsidRDefault="00877A6A" w:rsidP="00AF11DC">
      <w:r>
        <w:separator/>
      </w:r>
    </w:p>
  </w:footnote>
  <w:footnote w:type="continuationSeparator" w:id="0">
    <w:p w:rsidR="00877A6A" w:rsidRDefault="00877A6A" w:rsidP="00AF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52E" w:rsidRDefault="008C2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1DC" w:rsidRDefault="00AF11DC" w:rsidP="00AF11DC">
    <w:pPr>
      <w:pStyle w:val="TOCHeader"/>
      <w:tabs>
        <w:tab w:val="center" w:pos="4824"/>
        <w:tab w:val="right" w:pos="9648"/>
      </w:tabs>
      <w:rPr>
        <w:u w:val="single"/>
      </w:rPr>
    </w:pPr>
    <w:r w:rsidRPr="00AF11DC">
      <w:rPr>
        <w:b/>
        <w:caps/>
      </w:rPr>
      <w:t>Table of Contents</w:t>
    </w:r>
  </w:p>
  <w:p w:rsidR="00AF11DC" w:rsidRDefault="00AF11DC" w:rsidP="00AF11DC">
    <w:pPr>
      <w:pStyle w:val="TOCHeader"/>
      <w:tabs>
        <w:tab w:val="center" w:pos="4824"/>
        <w:tab w:val="right" w:pos="9648"/>
      </w:tabs>
    </w:pPr>
    <w:r>
      <w:t>(continued)</w:t>
    </w:r>
  </w:p>
  <w:p w:rsidR="00AF11DC" w:rsidRDefault="00AF11DC" w:rsidP="00AF11DC">
    <w:pPr>
      <w:pStyle w:val="TOCHeader"/>
      <w:tabs>
        <w:tab w:val="center" w:pos="4824"/>
        <w:tab w:val="right" w:pos="9648"/>
      </w:tabs>
      <w:spacing w:after="200"/>
      <w:jc w:val="right"/>
      <w:rPr>
        <w:u w:val="single"/>
      </w:rPr>
    </w:pPr>
    <w:r w:rsidRPr="00AF11DC">
      <w:rPr>
        <w:b/>
      </w:rPr>
      <w:t>Page</w:t>
    </w:r>
  </w:p>
  <w:p w:rsidR="00DF27F7" w:rsidRPr="00AF11DC" w:rsidRDefault="00DF27F7" w:rsidP="00AF11DC">
    <w:pPr>
      <w:pStyle w:val="Header"/>
      <w:tabs>
        <w:tab w:val="clear" w:pos="4320"/>
        <w:tab w:val="clear" w:pos="8640"/>
        <w:tab w:val="center" w:pos="4824"/>
        <w:tab w:val="right" w:pos="964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7A1" w:rsidRPr="0083644B" w:rsidRDefault="009D27A1" w:rsidP="009D27A1">
    <w:pPr>
      <w:pBdr>
        <w:bottom w:val="single" w:sz="24" w:space="1" w:color="auto"/>
      </w:pBdr>
      <w:tabs>
        <w:tab w:val="center" w:pos="4320"/>
        <w:tab w:val="right" w:pos="8640"/>
      </w:tabs>
      <w:jc w:val="right"/>
      <w:rPr>
        <w:sz w:val="24"/>
      </w:rPr>
    </w:pPr>
    <w:r w:rsidRPr="0083644B">
      <w:rPr>
        <w:b/>
        <w:sz w:val="24"/>
      </w:rPr>
      <w:t xml:space="preserve">PARCEL A   </w:t>
    </w:r>
    <w:r w:rsidRPr="0083644B">
      <w:rPr>
        <w:sz w:val="24"/>
      </w:rPr>
      <w:t xml:space="preserve">  </w:t>
    </w:r>
  </w:p>
  <w:p w:rsidR="009D27A1" w:rsidRPr="0083644B" w:rsidRDefault="009D27A1" w:rsidP="009D27A1">
    <w:pPr>
      <w:tabs>
        <w:tab w:val="center" w:pos="4320"/>
        <w:tab w:val="right" w:pos="8640"/>
      </w:tabs>
      <w:rPr>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7F7" w:rsidRDefault="00DF27F7">
    <w:pPr>
      <w:pBdr>
        <w:bottom w:val="single" w:sz="24" w:space="1" w:color="auto"/>
      </w:pBdr>
      <w:tabs>
        <w:tab w:val="center" w:pos="4320"/>
        <w:tab w:val="right" w:pos="8640"/>
      </w:tabs>
      <w:rPr>
        <w:i/>
      </w:rPr>
    </w:pPr>
    <w:r>
      <w:rPr>
        <w:i/>
      </w:rPr>
      <w:t>MILLENNIUM GDP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7F7" w:rsidRDefault="00DF27F7">
    <w:pPr>
      <w:pBdr>
        <w:bottom w:val="single" w:sz="24" w:space="1" w:color="auto"/>
      </w:pBdr>
      <w:tabs>
        <w:tab w:val="center" w:pos="4320"/>
        <w:tab w:val="right" w:pos="8640"/>
      </w:tabs>
      <w:jc w:val="right"/>
      <w:rPr>
        <w:sz w:val="24"/>
      </w:rPr>
    </w:pPr>
    <w:r>
      <w:rPr>
        <w:b/>
        <w:sz w:val="24"/>
      </w:rPr>
      <w:t xml:space="preserve">PARCEL A   </w:t>
    </w:r>
    <w:r>
      <w:rPr>
        <w:sz w:val="24"/>
      </w:rPr>
      <w:t xml:space="preserve">  </w:t>
    </w:r>
    <w:bookmarkStart w:id="30" w:name="_MON_996560542"/>
    <w:bookmarkEnd w:id="30"/>
    <w:r>
      <w:rPr>
        <w:sz w:val="24"/>
      </w:rPr>
      <w:object w:dxaOrig="491" w:dyaOrig="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65pt" fillcolor="window">
          <v:imagedata r:id="rId1" o:title=""/>
        </v:shape>
        <o:OLEObject Type="Embed" ProgID="Word.Picture.8" ShapeID="_x0000_i1025" DrawAspect="Content" ObjectID="_175507638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945C48"/>
    <w:name w:val="List Number"/>
    <w:lvl w:ilvl="0">
      <w:start w:val="1"/>
      <w:numFmt w:val="lowerLetter"/>
      <w:pStyle w:val="ListNumber"/>
      <w:lvlText w:val="(%1)"/>
      <w:lvlJc w:val="left"/>
      <w:pPr>
        <w:ind w:left="360" w:hanging="360"/>
      </w:pPr>
      <w:rPr>
        <w:rFonts w:hint="default"/>
        <w:b w:val="0"/>
        <w:bCs w:val="0"/>
      </w:rPr>
    </w:lvl>
  </w:abstractNum>
  <w:abstractNum w:abstractNumId="1" w15:restartNumberingAfterBreak="0">
    <w:nsid w:val="17C810E4"/>
    <w:multiLevelType w:val="multilevel"/>
    <w:tmpl w:val="2620F1E4"/>
    <w:lvl w:ilvl="0">
      <w:start w:val="2"/>
      <w:numFmt w:val="decimal"/>
      <w:lvlText w:val="%1"/>
      <w:lvlJc w:val="left"/>
      <w:pPr>
        <w:tabs>
          <w:tab w:val="num" w:pos="570"/>
        </w:tabs>
        <w:ind w:left="570" w:hanging="570"/>
      </w:pPr>
      <w:rPr>
        <w:rFonts w:hint="default"/>
      </w:rPr>
    </w:lvl>
    <w:lvl w:ilvl="1">
      <w:start w:val="1"/>
      <w:numFmt w:val="decimal"/>
      <w:pStyle w:val="Heading2"/>
      <w:lvlText w:val="%1.%2"/>
      <w:lvlJc w:val="left"/>
      <w:pPr>
        <w:tabs>
          <w:tab w:val="num" w:pos="570"/>
        </w:tabs>
        <w:ind w:left="570" w:hanging="57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62678A"/>
    <w:multiLevelType w:val="multilevel"/>
    <w:tmpl w:val="75E07F76"/>
    <w:name w:val="zzmpArticle||Article|2|1|1|4|2|41||1|2|41||1|2|33||5|2|41||0|2|41||2|2|36||1|2|0||mpNA||mpNA||"/>
    <w:lvl w:ilvl="0">
      <w:start w:val="2"/>
      <w:numFmt w:val="decimal"/>
      <w:pStyle w:val="ArticleL1"/>
      <w:suff w:val="nothing"/>
      <w:lvlText w:val="Section %1"/>
      <w:lvlJc w:val="left"/>
      <w:pPr>
        <w:ind w:left="0" w:firstLine="0"/>
      </w:pPr>
      <w:rPr>
        <w:rFonts w:hint="default"/>
        <w:b/>
        <w:i w:val="0"/>
        <w:caps/>
        <w:smallCaps w:val="0"/>
        <w:color w:val="auto"/>
        <w:u w:val="none"/>
      </w:rPr>
    </w:lvl>
    <w:lvl w:ilvl="1">
      <w:start w:val="1"/>
      <w:numFmt w:val="decimal"/>
      <w:pStyle w:val="ArticleL2"/>
      <w:lvlText w:val="%1.%2"/>
      <w:lvlJc w:val="left"/>
      <w:pPr>
        <w:tabs>
          <w:tab w:val="num" w:pos="720"/>
        </w:tabs>
        <w:ind w:left="0" w:firstLine="0"/>
      </w:pPr>
      <w:rPr>
        <w:rFonts w:ascii="Times New Roman" w:hAnsi="Times New Roman" w:cs="Times New Roman" w:hint="default"/>
        <w:b/>
        <w:i w:val="0"/>
        <w:caps/>
        <w:smallCaps w:val="0"/>
        <w:color w:val="auto"/>
        <w:u w:val="none"/>
      </w:rPr>
    </w:lvl>
    <w:lvl w:ilvl="2">
      <w:start w:val="2"/>
      <w:numFmt w:val="decimal"/>
      <w:pStyle w:val="ArticleL3"/>
      <w:isLgl/>
      <w:lvlText w:val="%1.%2.%3"/>
      <w:lvlJc w:val="left"/>
      <w:pPr>
        <w:tabs>
          <w:tab w:val="num" w:pos="720"/>
        </w:tabs>
        <w:ind w:left="0" w:firstLine="0"/>
      </w:pPr>
      <w:rPr>
        <w:rFonts w:ascii="Times New Roman" w:hAnsi="Times New Roman" w:cs="Times New Roman" w:hint="default"/>
        <w:b/>
        <w:i w:val="0"/>
        <w:caps w:val="0"/>
        <w:smallCaps w:val="0"/>
        <w:color w:val="auto"/>
        <w:u w:val="none"/>
      </w:rPr>
    </w:lvl>
    <w:lvl w:ilvl="3">
      <w:start w:val="2"/>
      <w:numFmt w:val="decimal"/>
      <w:pStyle w:val="ArticleL4"/>
      <w:suff w:val="nothing"/>
      <w:lvlText w:val="Appendix %1-%4"/>
      <w:lvlJc w:val="left"/>
      <w:pPr>
        <w:ind w:left="0" w:firstLine="0"/>
      </w:pPr>
      <w:rPr>
        <w:rFonts w:hint="default"/>
        <w:b/>
        <w:i w:val="0"/>
        <w:caps/>
        <w:smallCaps w:val="0"/>
        <w:u w:val="none"/>
      </w:rPr>
    </w:lvl>
    <w:lvl w:ilvl="4">
      <w:start w:val="1"/>
      <w:numFmt w:val="none"/>
      <w:lvlRestart w:val="0"/>
      <w:pStyle w:val="ArticleL5"/>
      <w:suff w:val="nothing"/>
      <w:lvlText w:val=""/>
      <w:lvlJc w:val="left"/>
      <w:pPr>
        <w:ind w:left="0" w:firstLine="0"/>
      </w:pPr>
      <w:rPr>
        <w:rFonts w:hint="default"/>
        <w:b/>
        <w:i w:val="0"/>
        <w:caps/>
        <w:smallCaps w:val="0"/>
        <w:u w:val="none"/>
      </w:rPr>
    </w:lvl>
    <w:lvl w:ilvl="5">
      <w:start w:val="1"/>
      <w:numFmt w:val="decimal"/>
      <w:lvlRestart w:val="0"/>
      <w:pStyle w:val="ArticleL6"/>
      <w:suff w:val="space"/>
      <w:lvlText w:val="Special Condition No. %6"/>
      <w:lvlJc w:val="left"/>
      <w:pPr>
        <w:ind w:left="0" w:firstLine="0"/>
      </w:pPr>
      <w:rPr>
        <w:rFonts w:hint="default"/>
        <w:b w:val="0"/>
        <w:i w:val="0"/>
        <w:caps w:val="0"/>
        <w:u w:val="single"/>
      </w:rPr>
    </w:lvl>
    <w:lvl w:ilvl="6">
      <w:start w:val="1"/>
      <w:numFmt w:val="lowerLetter"/>
      <w:pStyle w:val="ArticleL7"/>
      <w:lvlText w:val="(%7)"/>
      <w:lvlJc w:val="left"/>
      <w:pPr>
        <w:tabs>
          <w:tab w:val="num" w:pos="720"/>
        </w:tabs>
        <w:ind w:left="720" w:hanging="360"/>
      </w:pPr>
      <w:rPr>
        <w:rFonts w:hint="default"/>
        <w:b w:val="0"/>
        <w:i w:val="0"/>
        <w:caps w:val="0"/>
        <w:color w:val="auto"/>
        <w:u w:val="none"/>
      </w:rPr>
    </w:lvl>
    <w:lvl w:ilvl="7">
      <w:start w:val="1"/>
      <w:numFmt w:val="none"/>
      <w:suff w:val="nothing"/>
      <w:lvlText w:val=""/>
      <w:lvlJc w:val="left"/>
      <w:pPr>
        <w:ind w:left="0" w:firstLine="0"/>
      </w:pPr>
      <w:rPr>
        <w:rFonts w:hint="default"/>
        <w:b w:val="0"/>
        <w:i w:val="0"/>
        <w:caps w:val="0"/>
        <w:color w:val="auto"/>
        <w:u w:val="none"/>
      </w:rPr>
    </w:lvl>
    <w:lvl w:ilvl="8">
      <w:start w:val="1"/>
      <w:numFmt w:val="none"/>
      <w:suff w:val="nothing"/>
      <w:lvlText w:val=""/>
      <w:lvlJc w:val="left"/>
      <w:pPr>
        <w:ind w:left="0" w:firstLine="0"/>
      </w:pPr>
      <w:rPr>
        <w:rFonts w:hint="default"/>
        <w:b w:val="0"/>
        <w:i w:val="0"/>
        <w:caps w:val="0"/>
        <w:color w:val="auto"/>
        <w:u w:val="none"/>
      </w:rPr>
    </w:lvl>
  </w:abstractNum>
  <w:abstractNum w:abstractNumId="3" w15:restartNumberingAfterBreak="0">
    <w:nsid w:val="2A523EBF"/>
    <w:multiLevelType w:val="hybridMultilevel"/>
    <w:tmpl w:val="DCD0D054"/>
    <w:lvl w:ilvl="0" w:tplc="AC0E4270">
      <w:start w:val="1"/>
      <w:numFmt w:val="decimal"/>
      <w:lvlText w:val="%1."/>
      <w:lvlJc w:val="left"/>
      <w:pPr>
        <w:ind w:left="367" w:hanging="248"/>
      </w:pPr>
      <w:rPr>
        <w:rFonts w:ascii="Arial" w:eastAsia="Arial" w:hAnsi="Arial" w:cs="Arial" w:hint="default"/>
        <w:b w:val="0"/>
        <w:bCs w:val="0"/>
        <w:i w:val="0"/>
        <w:iCs w:val="0"/>
        <w:spacing w:val="-1"/>
        <w:w w:val="100"/>
        <w:sz w:val="22"/>
        <w:szCs w:val="22"/>
        <w:lang w:val="en-US" w:eastAsia="en-US" w:bidi="ar-SA"/>
      </w:rPr>
    </w:lvl>
    <w:lvl w:ilvl="1" w:tplc="1FE851BE">
      <w:numFmt w:val="bullet"/>
      <w:lvlText w:val="•"/>
      <w:lvlJc w:val="left"/>
      <w:pPr>
        <w:ind w:left="1428" w:hanging="248"/>
      </w:pPr>
      <w:rPr>
        <w:rFonts w:hint="default"/>
        <w:lang w:val="en-US" w:eastAsia="en-US" w:bidi="ar-SA"/>
      </w:rPr>
    </w:lvl>
    <w:lvl w:ilvl="2" w:tplc="36B07CA6">
      <w:numFmt w:val="bullet"/>
      <w:lvlText w:val="•"/>
      <w:lvlJc w:val="left"/>
      <w:pPr>
        <w:ind w:left="2496" w:hanging="248"/>
      </w:pPr>
      <w:rPr>
        <w:rFonts w:hint="default"/>
        <w:lang w:val="en-US" w:eastAsia="en-US" w:bidi="ar-SA"/>
      </w:rPr>
    </w:lvl>
    <w:lvl w:ilvl="3" w:tplc="50148380">
      <w:numFmt w:val="bullet"/>
      <w:lvlText w:val="•"/>
      <w:lvlJc w:val="left"/>
      <w:pPr>
        <w:ind w:left="3564" w:hanging="248"/>
      </w:pPr>
      <w:rPr>
        <w:rFonts w:hint="default"/>
        <w:lang w:val="en-US" w:eastAsia="en-US" w:bidi="ar-SA"/>
      </w:rPr>
    </w:lvl>
    <w:lvl w:ilvl="4" w:tplc="38B4C2C2">
      <w:numFmt w:val="bullet"/>
      <w:lvlText w:val="•"/>
      <w:lvlJc w:val="left"/>
      <w:pPr>
        <w:ind w:left="4632" w:hanging="248"/>
      </w:pPr>
      <w:rPr>
        <w:rFonts w:hint="default"/>
        <w:lang w:val="en-US" w:eastAsia="en-US" w:bidi="ar-SA"/>
      </w:rPr>
    </w:lvl>
    <w:lvl w:ilvl="5" w:tplc="FDAAE632">
      <w:numFmt w:val="bullet"/>
      <w:lvlText w:val="•"/>
      <w:lvlJc w:val="left"/>
      <w:pPr>
        <w:ind w:left="5700" w:hanging="248"/>
      </w:pPr>
      <w:rPr>
        <w:rFonts w:hint="default"/>
        <w:lang w:val="en-US" w:eastAsia="en-US" w:bidi="ar-SA"/>
      </w:rPr>
    </w:lvl>
    <w:lvl w:ilvl="6" w:tplc="AF3C32FA">
      <w:numFmt w:val="bullet"/>
      <w:lvlText w:val="•"/>
      <w:lvlJc w:val="left"/>
      <w:pPr>
        <w:ind w:left="6768" w:hanging="248"/>
      </w:pPr>
      <w:rPr>
        <w:rFonts w:hint="default"/>
        <w:lang w:val="en-US" w:eastAsia="en-US" w:bidi="ar-SA"/>
      </w:rPr>
    </w:lvl>
    <w:lvl w:ilvl="7" w:tplc="23921882">
      <w:numFmt w:val="bullet"/>
      <w:lvlText w:val="•"/>
      <w:lvlJc w:val="left"/>
      <w:pPr>
        <w:ind w:left="7836" w:hanging="248"/>
      </w:pPr>
      <w:rPr>
        <w:rFonts w:hint="default"/>
        <w:lang w:val="en-US" w:eastAsia="en-US" w:bidi="ar-SA"/>
      </w:rPr>
    </w:lvl>
    <w:lvl w:ilvl="8" w:tplc="824031C2">
      <w:numFmt w:val="bullet"/>
      <w:lvlText w:val="•"/>
      <w:lvlJc w:val="left"/>
      <w:pPr>
        <w:ind w:left="8904" w:hanging="248"/>
      </w:pPr>
      <w:rPr>
        <w:rFonts w:hint="default"/>
        <w:lang w:val="en-US" w:eastAsia="en-US" w:bidi="ar-SA"/>
      </w:rPr>
    </w:lvl>
  </w:abstractNum>
  <w:num w:numId="1" w16cid:durableId="1460800700">
    <w:abstractNumId w:val="1"/>
  </w:num>
  <w:num w:numId="2" w16cid:durableId="856115056">
    <w:abstractNumId w:val="0"/>
  </w:num>
  <w:num w:numId="3" w16cid:durableId="1331058019">
    <w:abstractNumId w:val="2"/>
  </w:num>
  <w:num w:numId="4" w16cid:durableId="1895962412">
    <w:abstractNumId w:val="2"/>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 w16cid:durableId="890923873">
    <w:abstractNumId w:val="2"/>
    <w:lvlOverride w:ilvl="0">
      <w:startOverride w:val="2"/>
    </w:lvlOverride>
    <w:lvlOverride w:ilvl="1">
      <w:startOverride w:val="1"/>
    </w:lvlOverride>
    <w:lvlOverride w:ilvl="2">
      <w:startOverride w:val="2"/>
    </w:lvlOverride>
    <w:lvlOverride w:ilvl="3">
      <w:startOverride w:val="2"/>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6" w16cid:durableId="1052193198">
    <w:abstractNumId w:val="2"/>
    <w:lvlOverride w:ilvl="0">
      <w:startOverride w:val="2"/>
    </w:lvlOverride>
    <w:lvlOverride w:ilvl="1">
      <w:startOverride w:val="2"/>
    </w:lvlOverride>
    <w:lvlOverride w:ilvl="2">
      <w:startOverride w:val="1"/>
    </w:lvlOverride>
    <w:lvlOverride w:ilvl="3">
      <w:startOverride w:val="2"/>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 w16cid:durableId="351689949">
    <w:abstractNumId w:val="2"/>
    <w:lvlOverride w:ilvl="0">
      <w:startOverride w:val="2"/>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751149">
    <w:abstractNumId w:val="2"/>
    <w:lvlOverride w:ilvl="0">
      <w:startOverride w:val="2"/>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02117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44"/>
  <w:autoHyphenation/>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MaxLevel" w:val="4"/>
    <w:docVar w:name="cbxMinLevel" w:val="1"/>
    <w:docVar w:name="cbxScheduleStyles" w:val="0"/>
    <w:docVar w:name="cbxTOCScheme" w:val="1"/>
    <w:docVar w:name="chkApplyManualFormatsToTOC" w:val="0"/>
    <w:docVar w:name="chkApplyTOC9" w:val="0"/>
    <w:docVar w:name="chkHyperlinks" w:val="1"/>
    <w:docVar w:name="chkMark" w:val="0"/>
    <w:docVar w:name="chkStyles" w:val="1"/>
    <w:docVar w:name="chkTCEntries" w:val="0"/>
    <w:docVar w:name="chkTwoColumn" w:val="0"/>
    <w:docVar w:name="DMS_Work10" w:val="0~ACTIVE||1~22625256||2~13||3~McWhinney - Millennium GDP - Section 2 (Parcel A)||5~KKEHLER||6~KMADDEN||7~WORD||8~WORKINGDOC||10~8/16/2023 5:59:25 PM||11~7/27/2023 6:32:07 PM||13~136192||14~False||17~public||18~KMADDEN||19~KMADDEN||21~True||22~True||23~False||25~008973||26~0366||30~01||53~Real Estate||60~McWhinney Real Estate Services Inc.||61~GDP Amendment||65~Denver||72~Real Estate||74~Kyli E. Kehler||75~Katherine J. Madden||76~Microsoft Word||77~Legal and business documents||82~doc||85~8/16/2023 6:00:36 PM||99~1/1/0001 12:00:00 AM||106~C:\Users\kmadden\AppData\Roaming\iManage\Work\Recent\McWhinney Real Estate Services - GDP Amendment (008973-0366)\McWhinney - Millennium GDP - Section 2 (Parcel A)(22625256.13).doc||107~1/1/0001 12:00:00 AM||109~9/1/2023 6:21:12 PM||113~7/27/2023 6:32:07 PM||114~8/16/2023 5:59:25 PM||124~False||"/>
    <w:docVar w:name="Exclusions" w:val=",Heading,"/>
    <w:docVar w:name="ForteTempFile" w:val="C:\Users\svcForte\AppData\Local\Temp\b94cb1f2-d8fe-4fb7-9fd3-c73e08ba9b01.docx"/>
    <w:docVar w:name="optCreateFrom" w:val="3"/>
    <w:docVar w:name="optInclude" w:val="0"/>
    <w:docVar w:name="StyleExclusions" w:val=",Article_L5,Article_L6,Article_L7,Heading 1,Heading 2,Heading 3,Heading 4,Heading 5,Heading 6,Heading 7,Heading 8,Heading 9,Title,"/>
    <w:docVar w:name="StyleInclusions" w:val=",Article_L1,Article_L2,Article_L3,Article_L4,"/>
    <w:docVar w:name="zzmp10LastTrailerInserted" w:val="^`~#mp!@⌕PA#:├┪7=&gt;řmÇ⌑•F⌗Hå¬pðC'⁁²°l†üð4!¾If⌌s⌅”çÛ¼ü⌚@¿LÎ7ôòà?9QÎ†⌔⌛cìãq‟+==S|Bn⌓‣⌐I&quot;ÔA ®ÑBî⁁e°Ù⌐H‡Ö⌒ßÅÓ/‿ÛÁ⌛‡P@⌚p»‡Ehmµ“⌗Óˎ⌆⌋ÿ.8Ý⌃°:þt»üêËŘa‡·×ÒˢaNæ„⌂8Y8QUS6P011"/>
    <w:docVar w:name="zzmp10LastTrailerInserted_1078" w:val="^`~#mp!@⌕PA#:├┪7=&gt;řmÇ⌑•F⌗Hå¬pðC'⁁²°l†üð4!¾If⌌s⌅”çÛ¼ü⌚@¿LÎ7ôòà?9QÎ†⌔⌛cìãq‟+==S|Bn⌓‣⌐I&quot;ÔA ®ÑBî⁁e°Ù⌐H‡Ö⌒ßÅÓ/‿ÛÁ⌛‡P@⌚p»‡Ehmµ“⌗Óˎ⌆⌋ÿ.8Ý⌃°:þt»üêËŘa‡·×ÒˢaNæ„⌂8Y8QUS6P011"/>
    <w:docVar w:name="zzmp10mSEGsValidated" w:val="1"/>
    <w:docVar w:name="zzmpArticle" w:val="||Article|2|1|1|4|2|41||1|2|41||1|2|33||5|2|41||0|2|41||2|2|36||1|2|0||mpNA||mpNA||"/>
    <w:docVar w:name="zzmpFixedCurScheme" w:val="Article"/>
    <w:docVar w:name="zzmpFixedCurScheme_9.0" w:val="1zzmpArticle"/>
    <w:docVar w:name="zzmpLTFontsClean" w:val="True"/>
    <w:docVar w:name="zzmpnSession" w:val="0.3247797"/>
  </w:docVars>
  <w:rsids>
    <w:rsidRoot w:val="00F20E81"/>
    <w:rsid w:val="000061A7"/>
    <w:rsid w:val="00011F7F"/>
    <w:rsid w:val="00022686"/>
    <w:rsid w:val="00044202"/>
    <w:rsid w:val="00047819"/>
    <w:rsid w:val="000479D0"/>
    <w:rsid w:val="00051A0F"/>
    <w:rsid w:val="000636D6"/>
    <w:rsid w:val="0006744C"/>
    <w:rsid w:val="00075A30"/>
    <w:rsid w:val="00081275"/>
    <w:rsid w:val="00094BE2"/>
    <w:rsid w:val="000A1AD4"/>
    <w:rsid w:val="000A3D01"/>
    <w:rsid w:val="000A4100"/>
    <w:rsid w:val="000B0F21"/>
    <w:rsid w:val="000C7136"/>
    <w:rsid w:val="000D1EAB"/>
    <w:rsid w:val="000E3E38"/>
    <w:rsid w:val="000F2E6C"/>
    <w:rsid w:val="000F68FF"/>
    <w:rsid w:val="00102630"/>
    <w:rsid w:val="001028F9"/>
    <w:rsid w:val="00110B4F"/>
    <w:rsid w:val="00111CF3"/>
    <w:rsid w:val="001141E1"/>
    <w:rsid w:val="0011767F"/>
    <w:rsid w:val="00125524"/>
    <w:rsid w:val="00131E35"/>
    <w:rsid w:val="001340FC"/>
    <w:rsid w:val="0013472D"/>
    <w:rsid w:val="00135884"/>
    <w:rsid w:val="00173580"/>
    <w:rsid w:val="00182CDE"/>
    <w:rsid w:val="001863F1"/>
    <w:rsid w:val="001A2182"/>
    <w:rsid w:val="001A32EF"/>
    <w:rsid w:val="001A5240"/>
    <w:rsid w:val="001B2020"/>
    <w:rsid w:val="001B2503"/>
    <w:rsid w:val="001C6EA5"/>
    <w:rsid w:val="001D588B"/>
    <w:rsid w:val="001E75B1"/>
    <w:rsid w:val="002020F4"/>
    <w:rsid w:val="00204EBA"/>
    <w:rsid w:val="002064AA"/>
    <w:rsid w:val="00206EDF"/>
    <w:rsid w:val="002103A2"/>
    <w:rsid w:val="00210725"/>
    <w:rsid w:val="00211879"/>
    <w:rsid w:val="002155C6"/>
    <w:rsid w:val="00217424"/>
    <w:rsid w:val="00230FC9"/>
    <w:rsid w:val="00231DC0"/>
    <w:rsid w:val="00233EB7"/>
    <w:rsid w:val="002402A4"/>
    <w:rsid w:val="002402AB"/>
    <w:rsid w:val="002421CA"/>
    <w:rsid w:val="00245E78"/>
    <w:rsid w:val="0026197E"/>
    <w:rsid w:val="00263CC7"/>
    <w:rsid w:val="00273A7B"/>
    <w:rsid w:val="0028031F"/>
    <w:rsid w:val="002803BF"/>
    <w:rsid w:val="0028477A"/>
    <w:rsid w:val="002864E4"/>
    <w:rsid w:val="00297E3F"/>
    <w:rsid w:val="002A0C0C"/>
    <w:rsid w:val="002E4386"/>
    <w:rsid w:val="002F39C5"/>
    <w:rsid w:val="00304ED1"/>
    <w:rsid w:val="00314DA8"/>
    <w:rsid w:val="00346A31"/>
    <w:rsid w:val="00365234"/>
    <w:rsid w:val="0037519C"/>
    <w:rsid w:val="00375D6F"/>
    <w:rsid w:val="00385335"/>
    <w:rsid w:val="0038675C"/>
    <w:rsid w:val="003A4891"/>
    <w:rsid w:val="003B5882"/>
    <w:rsid w:val="003B7783"/>
    <w:rsid w:val="003C049E"/>
    <w:rsid w:val="003C4BCF"/>
    <w:rsid w:val="003C6E3F"/>
    <w:rsid w:val="003E282A"/>
    <w:rsid w:val="003F2DDD"/>
    <w:rsid w:val="00400E4B"/>
    <w:rsid w:val="00401258"/>
    <w:rsid w:val="0040143D"/>
    <w:rsid w:val="004068F8"/>
    <w:rsid w:val="0041014E"/>
    <w:rsid w:val="004137EB"/>
    <w:rsid w:val="00420C81"/>
    <w:rsid w:val="00421559"/>
    <w:rsid w:val="004312DA"/>
    <w:rsid w:val="00455BCC"/>
    <w:rsid w:val="00464E2B"/>
    <w:rsid w:val="00471B6C"/>
    <w:rsid w:val="00471EC5"/>
    <w:rsid w:val="00474083"/>
    <w:rsid w:val="004838AC"/>
    <w:rsid w:val="00496D1C"/>
    <w:rsid w:val="004974A2"/>
    <w:rsid w:val="004979C0"/>
    <w:rsid w:val="004A7DFC"/>
    <w:rsid w:val="004C4973"/>
    <w:rsid w:val="004D2B1D"/>
    <w:rsid w:val="004D5D79"/>
    <w:rsid w:val="004D666E"/>
    <w:rsid w:val="004E2A11"/>
    <w:rsid w:val="004E6C23"/>
    <w:rsid w:val="004F6108"/>
    <w:rsid w:val="00505283"/>
    <w:rsid w:val="00512903"/>
    <w:rsid w:val="00517CE0"/>
    <w:rsid w:val="00520B86"/>
    <w:rsid w:val="00532D3F"/>
    <w:rsid w:val="00564314"/>
    <w:rsid w:val="005655E8"/>
    <w:rsid w:val="0056604B"/>
    <w:rsid w:val="00570C05"/>
    <w:rsid w:val="00576782"/>
    <w:rsid w:val="005771B5"/>
    <w:rsid w:val="00577DF4"/>
    <w:rsid w:val="00595A78"/>
    <w:rsid w:val="005B0B77"/>
    <w:rsid w:val="005B2DAC"/>
    <w:rsid w:val="005D6B97"/>
    <w:rsid w:val="005E6D85"/>
    <w:rsid w:val="005F6E7C"/>
    <w:rsid w:val="00604150"/>
    <w:rsid w:val="0061063D"/>
    <w:rsid w:val="00627757"/>
    <w:rsid w:val="00631D22"/>
    <w:rsid w:val="00636364"/>
    <w:rsid w:val="00636A17"/>
    <w:rsid w:val="006431BA"/>
    <w:rsid w:val="00651B46"/>
    <w:rsid w:val="006554D3"/>
    <w:rsid w:val="0068032B"/>
    <w:rsid w:val="006869BA"/>
    <w:rsid w:val="006873DD"/>
    <w:rsid w:val="00696181"/>
    <w:rsid w:val="00697BB7"/>
    <w:rsid w:val="006A520D"/>
    <w:rsid w:val="006C13C2"/>
    <w:rsid w:val="006C57BF"/>
    <w:rsid w:val="006D2E83"/>
    <w:rsid w:val="006D7664"/>
    <w:rsid w:val="006E049D"/>
    <w:rsid w:val="006E59EE"/>
    <w:rsid w:val="0072185E"/>
    <w:rsid w:val="0072716A"/>
    <w:rsid w:val="00736DC9"/>
    <w:rsid w:val="0076303D"/>
    <w:rsid w:val="00784B53"/>
    <w:rsid w:val="00790F6A"/>
    <w:rsid w:val="00793ACF"/>
    <w:rsid w:val="007940E8"/>
    <w:rsid w:val="007A36C6"/>
    <w:rsid w:val="007A396F"/>
    <w:rsid w:val="007B678B"/>
    <w:rsid w:val="007D14A0"/>
    <w:rsid w:val="007D7BF9"/>
    <w:rsid w:val="007F2E55"/>
    <w:rsid w:val="00813FF2"/>
    <w:rsid w:val="008144C3"/>
    <w:rsid w:val="00817D3D"/>
    <w:rsid w:val="00822CD3"/>
    <w:rsid w:val="00822E95"/>
    <w:rsid w:val="00876BD4"/>
    <w:rsid w:val="00877A6A"/>
    <w:rsid w:val="00892841"/>
    <w:rsid w:val="00892D5F"/>
    <w:rsid w:val="00893989"/>
    <w:rsid w:val="008B3E85"/>
    <w:rsid w:val="008B6106"/>
    <w:rsid w:val="008C0552"/>
    <w:rsid w:val="008C252E"/>
    <w:rsid w:val="008C63D2"/>
    <w:rsid w:val="008C779F"/>
    <w:rsid w:val="008D1367"/>
    <w:rsid w:val="008D7138"/>
    <w:rsid w:val="008E0B43"/>
    <w:rsid w:val="0090614D"/>
    <w:rsid w:val="00914128"/>
    <w:rsid w:val="00915872"/>
    <w:rsid w:val="0094074E"/>
    <w:rsid w:val="009437D0"/>
    <w:rsid w:val="00946437"/>
    <w:rsid w:val="00970F68"/>
    <w:rsid w:val="00971480"/>
    <w:rsid w:val="00972832"/>
    <w:rsid w:val="00985A26"/>
    <w:rsid w:val="009A5B32"/>
    <w:rsid w:val="009B3F27"/>
    <w:rsid w:val="009D27A1"/>
    <w:rsid w:val="009D5B50"/>
    <w:rsid w:val="009E0000"/>
    <w:rsid w:val="009E6A72"/>
    <w:rsid w:val="009F1CD1"/>
    <w:rsid w:val="00A1662A"/>
    <w:rsid w:val="00A22FE0"/>
    <w:rsid w:val="00A30F8B"/>
    <w:rsid w:val="00A4088E"/>
    <w:rsid w:val="00A52DB3"/>
    <w:rsid w:val="00A61C94"/>
    <w:rsid w:val="00A64582"/>
    <w:rsid w:val="00A6555F"/>
    <w:rsid w:val="00A77103"/>
    <w:rsid w:val="00A80A7E"/>
    <w:rsid w:val="00AA1108"/>
    <w:rsid w:val="00AA6E43"/>
    <w:rsid w:val="00AB46A4"/>
    <w:rsid w:val="00AC1023"/>
    <w:rsid w:val="00AC1ADD"/>
    <w:rsid w:val="00AC7570"/>
    <w:rsid w:val="00AD48D3"/>
    <w:rsid w:val="00AE0CE0"/>
    <w:rsid w:val="00AE47D7"/>
    <w:rsid w:val="00AE55ED"/>
    <w:rsid w:val="00AF11DC"/>
    <w:rsid w:val="00B05483"/>
    <w:rsid w:val="00B26011"/>
    <w:rsid w:val="00B41A7D"/>
    <w:rsid w:val="00B50910"/>
    <w:rsid w:val="00B532E1"/>
    <w:rsid w:val="00B76FF4"/>
    <w:rsid w:val="00B869EF"/>
    <w:rsid w:val="00B90838"/>
    <w:rsid w:val="00B91295"/>
    <w:rsid w:val="00B94D0F"/>
    <w:rsid w:val="00BC30F8"/>
    <w:rsid w:val="00BC4966"/>
    <w:rsid w:val="00BC4D69"/>
    <w:rsid w:val="00BC4E17"/>
    <w:rsid w:val="00BD5DB5"/>
    <w:rsid w:val="00BF13D7"/>
    <w:rsid w:val="00C07EAB"/>
    <w:rsid w:val="00C531F8"/>
    <w:rsid w:val="00C53F23"/>
    <w:rsid w:val="00C61D87"/>
    <w:rsid w:val="00C6235A"/>
    <w:rsid w:val="00C8503E"/>
    <w:rsid w:val="00C85C61"/>
    <w:rsid w:val="00C861B5"/>
    <w:rsid w:val="00C869D9"/>
    <w:rsid w:val="00C94147"/>
    <w:rsid w:val="00CB0F54"/>
    <w:rsid w:val="00CF1696"/>
    <w:rsid w:val="00D3206F"/>
    <w:rsid w:val="00D33938"/>
    <w:rsid w:val="00D56772"/>
    <w:rsid w:val="00D60954"/>
    <w:rsid w:val="00D62338"/>
    <w:rsid w:val="00D660BA"/>
    <w:rsid w:val="00D814B5"/>
    <w:rsid w:val="00D976B8"/>
    <w:rsid w:val="00DA1FE7"/>
    <w:rsid w:val="00DA4F70"/>
    <w:rsid w:val="00DB3393"/>
    <w:rsid w:val="00DB641A"/>
    <w:rsid w:val="00DC1129"/>
    <w:rsid w:val="00DD6FE0"/>
    <w:rsid w:val="00DE0B8D"/>
    <w:rsid w:val="00DE5770"/>
    <w:rsid w:val="00DE7F50"/>
    <w:rsid w:val="00DF27F7"/>
    <w:rsid w:val="00DF7296"/>
    <w:rsid w:val="00E01917"/>
    <w:rsid w:val="00E06AF8"/>
    <w:rsid w:val="00E10403"/>
    <w:rsid w:val="00E30B4B"/>
    <w:rsid w:val="00E3548F"/>
    <w:rsid w:val="00E45753"/>
    <w:rsid w:val="00E45C4C"/>
    <w:rsid w:val="00E509D8"/>
    <w:rsid w:val="00E54D27"/>
    <w:rsid w:val="00E55D5D"/>
    <w:rsid w:val="00E71F74"/>
    <w:rsid w:val="00E87596"/>
    <w:rsid w:val="00E91EF6"/>
    <w:rsid w:val="00E9544A"/>
    <w:rsid w:val="00E972FD"/>
    <w:rsid w:val="00E97E7E"/>
    <w:rsid w:val="00EA568D"/>
    <w:rsid w:val="00EB3E7F"/>
    <w:rsid w:val="00EC5902"/>
    <w:rsid w:val="00ED43EE"/>
    <w:rsid w:val="00ED5CC1"/>
    <w:rsid w:val="00EF08BD"/>
    <w:rsid w:val="00F01B5A"/>
    <w:rsid w:val="00F021B9"/>
    <w:rsid w:val="00F20E81"/>
    <w:rsid w:val="00F23E3B"/>
    <w:rsid w:val="00F258B7"/>
    <w:rsid w:val="00F3101D"/>
    <w:rsid w:val="00F65B8B"/>
    <w:rsid w:val="00F67E91"/>
    <w:rsid w:val="00F8011B"/>
    <w:rsid w:val="00F8598A"/>
    <w:rsid w:val="00FA686F"/>
    <w:rsid w:val="00FB3EA5"/>
    <w:rsid w:val="00FC52B3"/>
    <w:rsid w:val="00FD4705"/>
    <w:rsid w:val="00FD5EFA"/>
    <w:rsid w:val="00FE4CE0"/>
    <w:rsid w:val="00FE5365"/>
    <w:rsid w:val="00FE5879"/>
    <w:rsid w:val="00FF5135"/>
    <w:rsid w:val="00FF6E03"/>
    <w:rsid w:val="00FF7F1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0BE93DC-7799-46C1-AEF3-4AE2D40E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1E1"/>
    <w:rPr>
      <w:sz w:val="22"/>
    </w:rPr>
  </w:style>
  <w:style w:type="paragraph" w:styleId="Heading1">
    <w:name w:val="heading 1"/>
    <w:basedOn w:val="Normal"/>
    <w:next w:val="Normal"/>
    <w:qFormat/>
    <w:pPr>
      <w:keepNext/>
      <w:widowControl w:val="0"/>
      <w:jc w:val="center"/>
      <w:outlineLvl w:val="0"/>
    </w:pPr>
    <w:rPr>
      <w:b/>
      <w:sz w:val="24"/>
    </w:rPr>
  </w:style>
  <w:style w:type="paragraph" w:styleId="Heading2">
    <w:name w:val="heading 2"/>
    <w:basedOn w:val="Normal"/>
    <w:next w:val="Normal"/>
    <w:qFormat/>
    <w:pPr>
      <w:keepNext/>
      <w:keepLines/>
      <w:numPr>
        <w:ilvl w:val="1"/>
        <w:numId w:val="1"/>
      </w:numPr>
      <w:jc w:val="both"/>
      <w:outlineLvl w:val="1"/>
    </w:pPr>
    <w:rPr>
      <w:b/>
      <w:smallCaps/>
      <w:snapToGrid w:val="0"/>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jc w:val="both"/>
      <w:outlineLvl w:val="3"/>
    </w:pPr>
    <w:rPr>
      <w:b/>
      <w:snapToGrid w:val="0"/>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ind w:left="2160" w:hanging="720"/>
    </w:pPr>
    <w:rPr>
      <w:sz w:val="24"/>
    </w:rPr>
  </w:style>
  <w:style w:type="paragraph" w:customStyle="1" w:styleId="Level3">
    <w:name w:val="Level 3"/>
    <w:basedOn w:val="Normal"/>
    <w:pPr>
      <w:widowControl w:val="0"/>
      <w:ind w:left="2880" w:hanging="720"/>
    </w:pPr>
    <w:rPr>
      <w:sz w:val="24"/>
    </w:rPr>
  </w:style>
  <w:style w:type="paragraph" w:customStyle="1" w:styleId="Level4">
    <w:name w:val="Level 4"/>
    <w:basedOn w:val="Normal"/>
    <w:pPr>
      <w:widowControl w:val="0"/>
      <w:ind w:left="3600" w:hanging="720"/>
    </w:pPr>
    <w:rPr>
      <w:sz w:val="24"/>
    </w:rPr>
  </w:style>
  <w:style w:type="paragraph" w:customStyle="1" w:styleId="Level5">
    <w:name w:val="Level 5"/>
    <w:basedOn w:val="Normal"/>
    <w:pPr>
      <w:widowControl w:val="0"/>
      <w:ind w:left="4320" w:hanging="720"/>
    </w:pPr>
    <w:rPr>
      <w:sz w:val="24"/>
    </w:rPr>
  </w:style>
  <w:style w:type="paragraph" w:customStyle="1" w:styleId="Level6">
    <w:name w:val="Level 6"/>
    <w:basedOn w:val="Normal"/>
    <w:pPr>
      <w:widowControl w:val="0"/>
      <w:ind w:left="5040" w:hanging="720"/>
    </w:pPr>
    <w:rPr>
      <w:sz w:val="24"/>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sz w:val="24"/>
    </w:rPr>
  </w:style>
  <w:style w:type="paragraph" w:styleId="BodyText2">
    <w:name w:val="Body Text 2"/>
    <w:basedOn w:val="Normal"/>
    <w:semiHidden/>
    <w:pPr>
      <w:tabs>
        <w:tab w:val="left" w:pos="1170"/>
        <w:tab w:val="left" w:pos="1440"/>
      </w:tabs>
      <w:ind w:left="1170"/>
      <w:jc w:val="both"/>
    </w:pPr>
  </w:style>
  <w:style w:type="paragraph" w:styleId="BodyText">
    <w:name w:val="Body Text"/>
    <w:basedOn w:val="Normal"/>
    <w:link w:val="BodyTextChar"/>
    <w:uiPriority w:val="99"/>
    <w:rsid w:val="00AF11DC"/>
    <w:pPr>
      <w:spacing w:after="240"/>
      <w:jc w:val="both"/>
    </w:pPr>
  </w:style>
  <w:style w:type="paragraph" w:styleId="BodyTextIndent2">
    <w:name w:val="Body Text Indent 2"/>
    <w:basedOn w:val="Normal"/>
    <w:semiHidden/>
    <w:pPr>
      <w:tabs>
        <w:tab w:val="left" w:pos="1440"/>
      </w:tabs>
      <w:ind w:left="1080"/>
      <w:jc w:val="both"/>
    </w:pPr>
  </w:style>
  <w:style w:type="paragraph" w:styleId="Header">
    <w:name w:val="header"/>
    <w:basedOn w:val="Normal"/>
    <w:semiHidden/>
    <w:pPr>
      <w:tabs>
        <w:tab w:val="center" w:pos="4320"/>
        <w:tab w:val="right" w:pos="8640"/>
      </w:tabs>
    </w:pPr>
  </w:style>
  <w:style w:type="paragraph" w:customStyle="1" w:styleId="SECTION-SUB-2">
    <w:name w:val="SECTION-SUB-2"/>
    <w:rPr>
      <w:b/>
      <w:snapToGrid w:val="0"/>
      <w:sz w:val="22"/>
    </w:rPr>
  </w:style>
  <w:style w:type="paragraph" w:customStyle="1" w:styleId="SECTIONTITLES">
    <w:name w:val="SECTION TITLES"/>
    <w:next w:val="SECTION-SUB-1"/>
    <w:rPr>
      <w:b/>
      <w:caps/>
      <w:snapToGrid w:val="0"/>
      <w:color w:val="000000"/>
      <w:sz w:val="22"/>
    </w:rPr>
  </w:style>
  <w:style w:type="paragraph" w:customStyle="1" w:styleId="SECTION-SUB-1">
    <w:name w:val="SECTION-SUB-1"/>
    <w:rPr>
      <w:i/>
      <w:caps/>
      <w:snapToGrid w:val="0"/>
      <w:sz w:val="22"/>
    </w:rPr>
  </w:style>
  <w:style w:type="paragraph" w:customStyle="1" w:styleId="BODY-TEXT">
    <w:name w:val="BODY-TEXT"/>
    <w:basedOn w:val="SECTION-SUB-2"/>
    <w:rPr>
      <w:b w:val="0"/>
    </w:rPr>
  </w:style>
  <w:style w:type="paragraph" w:customStyle="1" w:styleId="BULLETS">
    <w:name w:val="BULLETS"/>
    <w:basedOn w:val="BODY-TEXT"/>
    <w:pPr>
      <w:tabs>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paragraph" w:styleId="BodyTextIndent">
    <w:name w:val="Body Text Indent"/>
    <w:basedOn w:val="Normal"/>
    <w:link w:val="BodyTextIndentChar"/>
    <w:semiHidden/>
    <w:pPr>
      <w:tabs>
        <w:tab w:val="left" w:pos="360"/>
      </w:tabs>
      <w:ind w:left="360" w:hanging="360"/>
      <w:jc w:val="both"/>
    </w:pPr>
  </w:style>
  <w:style w:type="paragraph" w:styleId="TOC1">
    <w:name w:val="toc 1"/>
    <w:basedOn w:val="Normal"/>
    <w:next w:val="Normal"/>
    <w:autoRedefine/>
    <w:uiPriority w:val="39"/>
    <w:rsid w:val="000479D0"/>
    <w:pPr>
      <w:keepLines/>
      <w:tabs>
        <w:tab w:val="right" w:leader="dot" w:pos="9648"/>
      </w:tabs>
      <w:spacing w:after="120"/>
      <w:ind w:left="1800" w:right="720" w:hanging="1800"/>
    </w:pPr>
    <w:rPr>
      <w:b/>
      <w:bCs/>
      <w:caps/>
      <w:noProof/>
      <w:snapToGrid w:val="0"/>
    </w:rPr>
  </w:style>
  <w:style w:type="paragraph" w:styleId="TOC2">
    <w:name w:val="toc 2"/>
    <w:basedOn w:val="Normal"/>
    <w:next w:val="Normal"/>
    <w:autoRedefine/>
    <w:uiPriority w:val="39"/>
    <w:pPr>
      <w:keepLines/>
      <w:tabs>
        <w:tab w:val="right" w:leader="dot" w:pos="9648"/>
      </w:tabs>
      <w:spacing w:after="120"/>
      <w:ind w:left="1440" w:right="720" w:hanging="720"/>
    </w:pPr>
  </w:style>
  <w:style w:type="paragraph" w:styleId="TOC5">
    <w:name w:val="toc 5"/>
    <w:basedOn w:val="Normal"/>
    <w:next w:val="Normal"/>
    <w:autoRedefine/>
    <w:semiHidden/>
    <w:pPr>
      <w:keepLines/>
      <w:tabs>
        <w:tab w:val="right" w:leader="dot" w:pos="9648"/>
      </w:tabs>
      <w:spacing w:after="120"/>
      <w:ind w:left="3600" w:right="720" w:hanging="720"/>
    </w:pPr>
  </w:style>
  <w:style w:type="paragraph" w:styleId="TOC3">
    <w:name w:val="toc 3"/>
    <w:basedOn w:val="Normal"/>
    <w:next w:val="Normal"/>
    <w:autoRedefine/>
    <w:uiPriority w:val="39"/>
    <w:pPr>
      <w:keepLines/>
      <w:tabs>
        <w:tab w:val="right" w:leader="dot" w:pos="9648"/>
      </w:tabs>
      <w:spacing w:after="120"/>
      <w:ind w:left="2160" w:right="720" w:hanging="720"/>
    </w:pPr>
  </w:style>
  <w:style w:type="paragraph" w:styleId="TOC4">
    <w:name w:val="toc 4"/>
    <w:basedOn w:val="Normal"/>
    <w:next w:val="Normal"/>
    <w:autoRedefine/>
    <w:uiPriority w:val="39"/>
    <w:rsid w:val="00AD48D3"/>
    <w:pPr>
      <w:keepLines/>
      <w:tabs>
        <w:tab w:val="right" w:leader="dot" w:pos="9648"/>
      </w:tabs>
      <w:spacing w:after="120"/>
      <w:ind w:left="720" w:right="720" w:hanging="720"/>
    </w:pPr>
  </w:style>
  <w:style w:type="paragraph" w:styleId="TOC6">
    <w:name w:val="toc 6"/>
    <w:basedOn w:val="Normal"/>
    <w:next w:val="Normal"/>
    <w:autoRedefine/>
    <w:semiHidden/>
    <w:pPr>
      <w:keepLines/>
      <w:tabs>
        <w:tab w:val="right" w:leader="dot" w:pos="9648"/>
      </w:tabs>
      <w:spacing w:after="120"/>
      <w:ind w:left="4320" w:right="720" w:hanging="720"/>
    </w:pPr>
  </w:style>
  <w:style w:type="paragraph" w:styleId="TOC7">
    <w:name w:val="toc 7"/>
    <w:basedOn w:val="Normal"/>
    <w:next w:val="Normal"/>
    <w:autoRedefine/>
    <w:semiHidden/>
    <w:pPr>
      <w:keepLines/>
      <w:tabs>
        <w:tab w:val="right" w:leader="dot" w:pos="9648"/>
      </w:tabs>
      <w:spacing w:after="120"/>
      <w:ind w:left="5040" w:right="720" w:hanging="720"/>
    </w:pPr>
  </w:style>
  <w:style w:type="paragraph" w:styleId="TOC8">
    <w:name w:val="toc 8"/>
    <w:basedOn w:val="Normal"/>
    <w:next w:val="Normal"/>
    <w:autoRedefine/>
    <w:semiHidden/>
    <w:pPr>
      <w:keepLines/>
      <w:tabs>
        <w:tab w:val="right" w:leader="dot" w:pos="9648"/>
      </w:tabs>
      <w:spacing w:after="120"/>
      <w:ind w:left="5760" w:right="720" w:hanging="720"/>
    </w:pPr>
  </w:style>
  <w:style w:type="paragraph" w:styleId="TOC9">
    <w:name w:val="toc 9"/>
    <w:basedOn w:val="Normal"/>
    <w:next w:val="Normal"/>
    <w:autoRedefine/>
    <w:semiHidden/>
    <w:pPr>
      <w:keepLines/>
      <w:tabs>
        <w:tab w:val="right" w:leader="dot" w:pos="9648"/>
      </w:tabs>
      <w:spacing w:after="120"/>
      <w:ind w:left="6480" w:right="720" w:hanging="720"/>
    </w:pPr>
  </w:style>
  <w:style w:type="paragraph" w:styleId="BodyText3">
    <w:name w:val="Body Text 3"/>
    <w:basedOn w:val="Normal"/>
    <w:semiHidden/>
    <w:pPr>
      <w:jc w:val="center"/>
    </w:pPr>
    <w:rPr>
      <w:b/>
      <w:snapToGrid w:val="0"/>
    </w:rPr>
  </w:style>
  <w:style w:type="paragraph" w:styleId="Title">
    <w:name w:val="Title"/>
    <w:basedOn w:val="Normal"/>
    <w:qFormat/>
    <w:pPr>
      <w:jc w:val="center"/>
    </w:pPr>
    <w:rPr>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Subtitle">
    <w:name w:val="Subtitle"/>
    <w:basedOn w:val="Normal"/>
    <w:qFormat/>
    <w:rPr>
      <w:b/>
      <w:i/>
      <w:snapToGrid w:val="0"/>
      <w:sz w:val="20"/>
    </w:rPr>
  </w:style>
  <w:style w:type="paragraph" w:styleId="BodyTextIndent3">
    <w:name w:val="Body Text Inden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firstLine="720"/>
      <w:jc w:val="both"/>
    </w:pPr>
    <w:rPr>
      <w:rFonts w:ascii="Times New Roman TUR" w:hAnsi="Times New Roman TUR" w:cs="Times New Roman TUR"/>
      <w:color w:val="000000"/>
      <w:sz w:val="24"/>
      <w:szCs w:val="24"/>
    </w:rPr>
  </w:style>
  <w:style w:type="character" w:styleId="FollowedHyperlink">
    <w:name w:val="FollowedHyperlink"/>
    <w:uiPriority w:val="99"/>
    <w:semiHidden/>
    <w:unhideWhenUsed/>
    <w:rsid w:val="00736DC9"/>
    <w:rPr>
      <w:color w:val="800080"/>
      <w:u w:val="single"/>
    </w:rPr>
  </w:style>
  <w:style w:type="paragraph" w:styleId="ListParagraph">
    <w:name w:val="List Paragraph"/>
    <w:basedOn w:val="Normal"/>
    <w:uiPriority w:val="1"/>
    <w:qFormat/>
    <w:rsid w:val="00F258B7"/>
    <w:pPr>
      <w:ind w:left="720"/>
    </w:pPr>
  </w:style>
  <w:style w:type="character" w:customStyle="1" w:styleId="FooterChar">
    <w:name w:val="Footer Char"/>
    <w:link w:val="Footer"/>
    <w:uiPriority w:val="99"/>
    <w:rsid w:val="0040143D"/>
    <w:rPr>
      <w:sz w:val="24"/>
    </w:rPr>
  </w:style>
  <w:style w:type="paragraph" w:customStyle="1" w:styleId="MacPacTrailer">
    <w:name w:val="MacPac Trailer"/>
    <w:rsid w:val="008C252E"/>
    <w:pPr>
      <w:widowControl w:val="0"/>
      <w:spacing w:line="200" w:lineRule="exact"/>
    </w:pPr>
    <w:rPr>
      <w:rFonts w:ascii="Arial" w:hAnsi="Arial"/>
      <w:sz w:val="16"/>
      <w:szCs w:val="22"/>
    </w:rPr>
  </w:style>
  <w:style w:type="character" w:styleId="PlaceholderText">
    <w:name w:val="Placeholder Text"/>
    <w:uiPriority w:val="99"/>
    <w:semiHidden/>
    <w:rsid w:val="0040143D"/>
    <w:rPr>
      <w:color w:val="808080"/>
    </w:rPr>
  </w:style>
  <w:style w:type="paragraph" w:styleId="ListNumber">
    <w:name w:val="List Number"/>
    <w:basedOn w:val="Normal"/>
    <w:uiPriority w:val="99"/>
    <w:unhideWhenUsed/>
    <w:rsid w:val="001141E1"/>
    <w:pPr>
      <w:numPr>
        <w:numId w:val="2"/>
      </w:numPr>
      <w:tabs>
        <w:tab w:val="left" w:pos="360"/>
      </w:tabs>
      <w:contextualSpacing/>
      <w:jc w:val="both"/>
    </w:pPr>
  </w:style>
  <w:style w:type="character" w:customStyle="1" w:styleId="BodyTextChar">
    <w:name w:val="Body Text Char"/>
    <w:link w:val="BodyText"/>
    <w:uiPriority w:val="99"/>
    <w:rsid w:val="00AF11DC"/>
    <w:rPr>
      <w:sz w:val="22"/>
    </w:rPr>
  </w:style>
  <w:style w:type="character" w:customStyle="1" w:styleId="BodyTextIndentChar">
    <w:name w:val="Body Text Indent Char"/>
    <w:link w:val="BodyTextIndent"/>
    <w:semiHidden/>
    <w:rsid w:val="001141E1"/>
    <w:rPr>
      <w:sz w:val="22"/>
    </w:rPr>
  </w:style>
  <w:style w:type="paragraph" w:customStyle="1" w:styleId="ArticleCont1">
    <w:name w:val="Article Cont 1"/>
    <w:basedOn w:val="Normal"/>
    <w:link w:val="ArticleCont1Char"/>
    <w:rsid w:val="00EA568D"/>
    <w:pPr>
      <w:spacing w:after="240"/>
    </w:pPr>
  </w:style>
  <w:style w:type="character" w:customStyle="1" w:styleId="ArticleCont1Char">
    <w:name w:val="Article Cont 1 Char"/>
    <w:link w:val="ArticleCont1"/>
    <w:rsid w:val="00EA568D"/>
    <w:rPr>
      <w:sz w:val="22"/>
    </w:rPr>
  </w:style>
  <w:style w:type="paragraph" w:customStyle="1" w:styleId="ArticleCont2">
    <w:name w:val="Article Cont 2"/>
    <w:basedOn w:val="ArticleCont1"/>
    <w:link w:val="ArticleCont2Char"/>
    <w:rsid w:val="00EA568D"/>
  </w:style>
  <w:style w:type="character" w:customStyle="1" w:styleId="ArticleCont2Char">
    <w:name w:val="Article Cont 2 Char"/>
    <w:link w:val="ArticleCont2"/>
    <w:rsid w:val="00EA568D"/>
    <w:rPr>
      <w:sz w:val="22"/>
    </w:rPr>
  </w:style>
  <w:style w:type="paragraph" w:customStyle="1" w:styleId="ArticleCont3">
    <w:name w:val="Article Cont 3"/>
    <w:basedOn w:val="ArticleCont2"/>
    <w:link w:val="ArticleCont3Char"/>
    <w:rsid w:val="00EA568D"/>
  </w:style>
  <w:style w:type="character" w:customStyle="1" w:styleId="ArticleCont3Char">
    <w:name w:val="Article Cont 3 Char"/>
    <w:link w:val="ArticleCont3"/>
    <w:rsid w:val="00EA568D"/>
    <w:rPr>
      <w:sz w:val="22"/>
    </w:rPr>
  </w:style>
  <w:style w:type="paragraph" w:customStyle="1" w:styleId="ArticleCont4">
    <w:name w:val="Article Cont 4"/>
    <w:basedOn w:val="ArticleCont3"/>
    <w:link w:val="ArticleCont4Char"/>
    <w:rsid w:val="00EA568D"/>
  </w:style>
  <w:style w:type="character" w:customStyle="1" w:styleId="ArticleCont4Char">
    <w:name w:val="Article Cont 4 Char"/>
    <w:link w:val="ArticleCont4"/>
    <w:rsid w:val="00EA568D"/>
    <w:rPr>
      <w:sz w:val="22"/>
    </w:rPr>
  </w:style>
  <w:style w:type="paragraph" w:customStyle="1" w:styleId="ArticleCont5">
    <w:name w:val="Article Cont 5"/>
    <w:basedOn w:val="ArticleCont4"/>
    <w:link w:val="ArticleCont5Char"/>
    <w:rsid w:val="00EA568D"/>
  </w:style>
  <w:style w:type="character" w:customStyle="1" w:styleId="ArticleCont5Char">
    <w:name w:val="Article Cont 5 Char"/>
    <w:link w:val="ArticleCont5"/>
    <w:rsid w:val="00EA568D"/>
    <w:rPr>
      <w:sz w:val="22"/>
    </w:rPr>
  </w:style>
  <w:style w:type="paragraph" w:customStyle="1" w:styleId="ArticleCont6">
    <w:name w:val="Article Cont 6"/>
    <w:basedOn w:val="ArticleCont5"/>
    <w:link w:val="ArticleCont6Char"/>
    <w:rsid w:val="00EA568D"/>
  </w:style>
  <w:style w:type="character" w:customStyle="1" w:styleId="ArticleCont6Char">
    <w:name w:val="Article Cont 6 Char"/>
    <w:link w:val="ArticleCont6"/>
    <w:rsid w:val="00EA568D"/>
    <w:rPr>
      <w:sz w:val="22"/>
    </w:rPr>
  </w:style>
  <w:style w:type="paragraph" w:customStyle="1" w:styleId="ArticleCont7">
    <w:name w:val="Article Cont 7"/>
    <w:basedOn w:val="ArticleCont6"/>
    <w:link w:val="ArticleCont7Char"/>
    <w:rsid w:val="00CB0F54"/>
  </w:style>
  <w:style w:type="character" w:customStyle="1" w:styleId="ArticleCont7Char">
    <w:name w:val="Article Cont 7 Char"/>
    <w:link w:val="ArticleCont7"/>
    <w:rsid w:val="00CB0F54"/>
    <w:rPr>
      <w:sz w:val="22"/>
    </w:rPr>
  </w:style>
  <w:style w:type="paragraph" w:customStyle="1" w:styleId="ArticleCont8">
    <w:name w:val="Article Cont 8"/>
    <w:basedOn w:val="ArticleCont7"/>
    <w:link w:val="ArticleCont8Char"/>
    <w:rsid w:val="000D1EAB"/>
  </w:style>
  <w:style w:type="character" w:customStyle="1" w:styleId="ArticleCont8Char">
    <w:name w:val="Article Cont 8 Char"/>
    <w:link w:val="ArticleCont8"/>
    <w:rsid w:val="000D1EAB"/>
    <w:rPr>
      <w:sz w:val="22"/>
    </w:rPr>
  </w:style>
  <w:style w:type="paragraph" w:customStyle="1" w:styleId="ArticleL1">
    <w:name w:val="Article_L1"/>
    <w:basedOn w:val="Normal"/>
    <w:link w:val="ArticleL1Char"/>
    <w:rsid w:val="00EA568D"/>
    <w:pPr>
      <w:keepNext/>
      <w:numPr>
        <w:numId w:val="3"/>
      </w:numPr>
      <w:spacing w:after="240"/>
      <w:jc w:val="center"/>
      <w:outlineLvl w:val="0"/>
    </w:pPr>
    <w:rPr>
      <w:b/>
      <w:caps/>
    </w:rPr>
  </w:style>
  <w:style w:type="character" w:customStyle="1" w:styleId="ArticleL1Char">
    <w:name w:val="Article_L1 Char"/>
    <w:link w:val="ArticleL1"/>
    <w:rsid w:val="00EA568D"/>
    <w:rPr>
      <w:b/>
      <w:caps/>
      <w:sz w:val="22"/>
    </w:rPr>
  </w:style>
  <w:style w:type="paragraph" w:customStyle="1" w:styleId="ArticleL2">
    <w:name w:val="Article_L2"/>
    <w:basedOn w:val="ArticleL1"/>
    <w:link w:val="ArticleL2Char"/>
    <w:rsid w:val="00EA568D"/>
    <w:pPr>
      <w:numPr>
        <w:ilvl w:val="1"/>
      </w:numPr>
      <w:jc w:val="both"/>
      <w:outlineLvl w:val="1"/>
    </w:pPr>
  </w:style>
  <w:style w:type="character" w:customStyle="1" w:styleId="ArticleL2Char">
    <w:name w:val="Article_L2 Char"/>
    <w:link w:val="ArticleL2"/>
    <w:rsid w:val="00EA568D"/>
    <w:rPr>
      <w:b/>
      <w:caps/>
      <w:sz w:val="22"/>
    </w:rPr>
  </w:style>
  <w:style w:type="paragraph" w:customStyle="1" w:styleId="ArticleL3">
    <w:name w:val="Article_L3"/>
    <w:basedOn w:val="ArticleL2"/>
    <w:link w:val="ArticleL3Char"/>
    <w:rsid w:val="00EA568D"/>
    <w:pPr>
      <w:numPr>
        <w:ilvl w:val="2"/>
      </w:numPr>
      <w:outlineLvl w:val="2"/>
    </w:pPr>
    <w:rPr>
      <w:caps w:val="0"/>
    </w:rPr>
  </w:style>
  <w:style w:type="character" w:customStyle="1" w:styleId="ArticleL3Char">
    <w:name w:val="Article_L3 Char"/>
    <w:link w:val="ArticleL3"/>
    <w:rsid w:val="00EA568D"/>
    <w:rPr>
      <w:b/>
      <w:sz w:val="22"/>
    </w:rPr>
  </w:style>
  <w:style w:type="paragraph" w:customStyle="1" w:styleId="ArticleL4">
    <w:name w:val="Article_L4"/>
    <w:basedOn w:val="ArticleL3"/>
    <w:link w:val="ArticleL4Char"/>
    <w:rsid w:val="00EA568D"/>
    <w:pPr>
      <w:numPr>
        <w:ilvl w:val="3"/>
      </w:numPr>
      <w:jc w:val="center"/>
      <w:outlineLvl w:val="3"/>
    </w:pPr>
    <w:rPr>
      <w:caps/>
    </w:rPr>
  </w:style>
  <w:style w:type="character" w:customStyle="1" w:styleId="ArticleL4Char">
    <w:name w:val="Article_L4 Char"/>
    <w:link w:val="ArticleL4"/>
    <w:rsid w:val="00EA568D"/>
    <w:rPr>
      <w:b/>
      <w:caps/>
      <w:sz w:val="22"/>
    </w:rPr>
  </w:style>
  <w:style w:type="paragraph" w:customStyle="1" w:styleId="ArticleL5">
    <w:name w:val="Article_L5"/>
    <w:basedOn w:val="ArticleL4"/>
    <w:link w:val="ArticleL5Char"/>
    <w:rsid w:val="00EA568D"/>
    <w:pPr>
      <w:numPr>
        <w:ilvl w:val="4"/>
      </w:numPr>
      <w:outlineLvl w:val="4"/>
    </w:pPr>
  </w:style>
  <w:style w:type="character" w:customStyle="1" w:styleId="ArticleL5Char">
    <w:name w:val="Article_L5 Char"/>
    <w:link w:val="ArticleL5"/>
    <w:rsid w:val="00EA568D"/>
    <w:rPr>
      <w:b/>
      <w:caps/>
      <w:sz w:val="22"/>
    </w:rPr>
  </w:style>
  <w:style w:type="paragraph" w:customStyle="1" w:styleId="ArticleL6">
    <w:name w:val="Article_L6"/>
    <w:basedOn w:val="ArticleL5"/>
    <w:link w:val="ArticleL6Char"/>
    <w:rsid w:val="00EA568D"/>
    <w:pPr>
      <w:numPr>
        <w:ilvl w:val="5"/>
      </w:numPr>
      <w:jc w:val="both"/>
      <w:outlineLvl w:val="5"/>
    </w:pPr>
    <w:rPr>
      <w:b w:val="0"/>
      <w:caps w:val="0"/>
      <w:u w:val="single"/>
    </w:rPr>
  </w:style>
  <w:style w:type="character" w:customStyle="1" w:styleId="ArticleL6Char">
    <w:name w:val="Article_L6 Char"/>
    <w:link w:val="ArticleL6"/>
    <w:rsid w:val="00EA568D"/>
    <w:rPr>
      <w:sz w:val="22"/>
      <w:u w:val="single"/>
    </w:rPr>
  </w:style>
  <w:style w:type="paragraph" w:customStyle="1" w:styleId="ArticleL7">
    <w:name w:val="Article_L7"/>
    <w:basedOn w:val="ArticleL6"/>
    <w:link w:val="ArticleL7Char"/>
    <w:rsid w:val="00EA568D"/>
    <w:pPr>
      <w:keepNext w:val="0"/>
      <w:numPr>
        <w:ilvl w:val="6"/>
      </w:numPr>
      <w:outlineLvl w:val="6"/>
    </w:pPr>
    <w:rPr>
      <w:u w:val="none"/>
    </w:rPr>
  </w:style>
  <w:style w:type="character" w:customStyle="1" w:styleId="ArticleL7Char">
    <w:name w:val="Article_L7 Char"/>
    <w:link w:val="ArticleL7"/>
    <w:rsid w:val="00EA568D"/>
    <w:rPr>
      <w:sz w:val="22"/>
    </w:rPr>
  </w:style>
  <w:style w:type="paragraph" w:customStyle="1" w:styleId="TOCHeader">
    <w:name w:val="TOC Header"/>
    <w:basedOn w:val="Normal"/>
    <w:rsid w:val="00AF11DC"/>
    <w:pPr>
      <w:ind w:left="115" w:right="115"/>
      <w:jc w:val="center"/>
    </w:pPr>
  </w:style>
  <w:style w:type="paragraph" w:styleId="TableofAuthorities">
    <w:name w:val="table of authorities"/>
    <w:basedOn w:val="Normal"/>
    <w:next w:val="Normal"/>
    <w:uiPriority w:val="99"/>
    <w:semiHidden/>
    <w:unhideWhenUsed/>
    <w:rsid w:val="00AF11DC"/>
    <w:pPr>
      <w:ind w:left="220" w:hanging="220"/>
    </w:pPr>
  </w:style>
  <w:style w:type="character" w:styleId="Hyperlink">
    <w:name w:val="Hyperlink"/>
    <w:uiPriority w:val="99"/>
    <w:unhideWhenUsed/>
    <w:rsid w:val="00AF11DC"/>
    <w:rPr>
      <w:color w:val="0563C1"/>
      <w:u w:val="single"/>
    </w:rPr>
  </w:style>
  <w:style w:type="paragraph" w:styleId="FootnoteText">
    <w:name w:val="footnote text"/>
    <w:basedOn w:val="Normal"/>
    <w:link w:val="FootnoteTextChar"/>
    <w:uiPriority w:val="99"/>
    <w:semiHidden/>
    <w:unhideWhenUsed/>
    <w:rsid w:val="00DE7F50"/>
    <w:rPr>
      <w:sz w:val="20"/>
    </w:rPr>
  </w:style>
  <w:style w:type="character" w:customStyle="1" w:styleId="FootnoteTextChar">
    <w:name w:val="Footnote Text Char"/>
    <w:basedOn w:val="DefaultParagraphFont"/>
    <w:link w:val="FootnoteText"/>
    <w:uiPriority w:val="99"/>
    <w:semiHidden/>
    <w:rsid w:val="00DE7F50"/>
  </w:style>
  <w:style w:type="character" w:styleId="FootnoteReference">
    <w:name w:val="footnote reference"/>
    <w:uiPriority w:val="99"/>
    <w:semiHidden/>
    <w:unhideWhenUsed/>
    <w:rsid w:val="00DE7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Relationships xmlns="http://schemas.openxmlformats.org/package/2006/relationships"><Relationship Target="footer5.xml" Id="rId17" Type="http://schemas.openxmlformats.org/officeDocument/2006/relationships/footer" /><Relationship Target="styles.xml" Id="rId3" Type="http://schemas.openxmlformats.org/officeDocument/2006/relationships/styles" /><Relationship Target="footer1.xml" Id="rId10" Type="http://schemas.openxmlformats.org/officeDocument/2006/relationships/footer" /><Relationship Target="header4.xml" Id="rId14" Type="http://schemas.openxmlformats.org/officeDocument/2006/relationships/header" /><Relationship Target="fontTable.xml" Id="rId18" Type="http://schemas.openxmlformats.org/officeDocument/2006/relationships/fontTable" /><Relationship Target="numbering.xml" Id="rId2" Type="http://schemas.openxmlformats.org/officeDocument/2006/relationships/numbering" /><Relationship Target="footnotes.xml" Id="rId6" Type="http://schemas.openxmlformats.org/officeDocument/2006/relationships/footnotes" /><Relationship Target="../customXml/item1.xml" Id="rId1" Type="http://schemas.openxmlformats.org/officeDocument/2006/relationships/customXml" /><Relationship Target="footer2.xml" Id="rId11" Type="http://schemas.openxmlformats.org/officeDocument/2006/relationships/footer" /><Relationship Target="header5.xml" Id="rId15" Type="http://schemas.openxmlformats.org/officeDocument/2006/relationships/header" /><Relationship Target="theme/theme1.xml" Id="rId19" Type="http://schemas.openxmlformats.org/officeDocument/2006/relationships/theme" /><Relationship Target="webSettings.xml" Id="rId5" Type="http://schemas.openxmlformats.org/officeDocument/2006/relationships/webSettings" /><Relationship Target="header2.xml" Id="rId9" Type="http://schemas.openxmlformats.org/officeDocument/2006/relationships/header" /><Relationship Target="header3.xml" Id="rId12" Type="http://schemas.openxmlformats.org/officeDocument/2006/relationships/header" /><Relationship Target="footer4.xml" Id="rId16" Type="http://schemas.openxmlformats.org/officeDocument/2006/relationships/footer" /><Relationship Target="settings.xml" Id="rId4" Type="http://schemas.openxmlformats.org/officeDocument/2006/relationships/settings" /><Relationship Target="header1.xml" Id="rId8" Type="http://schemas.openxmlformats.org/officeDocument/2006/relationships/header" /><Relationship Target="footer3.xml" Id="rId13" Type="http://schemas.openxmlformats.org/officeDocument/2006/relationships/footer" /><Relationship Target="endnotes.xml" Id="rId7" Type="http://schemas.openxmlformats.org/officeDocument/2006/relationships/endnotes" /></Relationships>
</file>

<file path=word/_rels/header5.xml.rels><?xml version="1.0" encoding="UTF-8"?><Relationships xmlns="http://schemas.openxmlformats.org/package/2006/relationships"><Relationship Target="media/image1.png" Id="rId1" Type="http://schemas.openxmlformats.org/officeDocument/2006/relationships/image" /><Relationship Target="embeddings/oleObject1.bin" Id="rId2"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Target="itemProps1.xml" Id="rId1"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73703-98B8-47D7-BC35-9D701F7F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4983</Words>
  <Characters>27808</Characters>
  <Application>Microsoft Office Word</Application>
  <DocSecurity>4</DocSecurity>
  <Lines>617</Lines>
  <Paragraphs>164</Paragraphs>
  <ScaleCrop>false</ScaleCrop>
  <HeadingPairs>
    <vt:vector size="2" baseType="variant">
      <vt:variant>
        <vt:lpstr>Title</vt:lpstr>
      </vt:variant>
      <vt:variant>
        <vt:i4>1</vt:i4>
      </vt:variant>
    </vt:vector>
  </HeadingPairs>
  <TitlesOfParts>
    <vt:vector size="1" baseType="lpstr">
      <vt:lpstr>RMV III - MIXED-USE NEIGHBORHOODS</vt:lpstr>
    </vt:vector>
  </TitlesOfParts>
  <Company>Cityscape Urban Design</Company>
  <LinksUpToDate>false</LinksUpToDate>
  <CharactersWithSpaces>32627</CharactersWithSpaces>
  <SharedDoc>false</SharedDoc>
  <HLinks>
    <vt:vector size="138" baseType="variant">
      <vt:variant>
        <vt:i4>2031679</vt:i4>
      </vt:variant>
      <vt:variant>
        <vt:i4>134</vt:i4>
      </vt:variant>
      <vt:variant>
        <vt:i4>0</vt:i4>
      </vt:variant>
      <vt:variant>
        <vt:i4>5</vt:i4>
      </vt:variant>
      <vt:variant>
        <vt:lpwstr/>
      </vt:variant>
      <vt:variant>
        <vt:lpwstr>_Toc88126507</vt:lpwstr>
      </vt:variant>
      <vt:variant>
        <vt:i4>1966143</vt:i4>
      </vt:variant>
      <vt:variant>
        <vt:i4>128</vt:i4>
      </vt:variant>
      <vt:variant>
        <vt:i4>0</vt:i4>
      </vt:variant>
      <vt:variant>
        <vt:i4>5</vt:i4>
      </vt:variant>
      <vt:variant>
        <vt:lpwstr/>
      </vt:variant>
      <vt:variant>
        <vt:lpwstr>_Toc88126506</vt:lpwstr>
      </vt:variant>
      <vt:variant>
        <vt:i4>1900607</vt:i4>
      </vt:variant>
      <vt:variant>
        <vt:i4>122</vt:i4>
      </vt:variant>
      <vt:variant>
        <vt:i4>0</vt:i4>
      </vt:variant>
      <vt:variant>
        <vt:i4>5</vt:i4>
      </vt:variant>
      <vt:variant>
        <vt:lpwstr/>
      </vt:variant>
      <vt:variant>
        <vt:lpwstr>_Toc88126505</vt:lpwstr>
      </vt:variant>
      <vt:variant>
        <vt:i4>1835071</vt:i4>
      </vt:variant>
      <vt:variant>
        <vt:i4>116</vt:i4>
      </vt:variant>
      <vt:variant>
        <vt:i4>0</vt:i4>
      </vt:variant>
      <vt:variant>
        <vt:i4>5</vt:i4>
      </vt:variant>
      <vt:variant>
        <vt:lpwstr/>
      </vt:variant>
      <vt:variant>
        <vt:lpwstr>_Toc88126504</vt:lpwstr>
      </vt:variant>
      <vt:variant>
        <vt:i4>1769535</vt:i4>
      </vt:variant>
      <vt:variant>
        <vt:i4>110</vt:i4>
      </vt:variant>
      <vt:variant>
        <vt:i4>0</vt:i4>
      </vt:variant>
      <vt:variant>
        <vt:i4>5</vt:i4>
      </vt:variant>
      <vt:variant>
        <vt:lpwstr/>
      </vt:variant>
      <vt:variant>
        <vt:lpwstr>_Toc88126503</vt:lpwstr>
      </vt:variant>
      <vt:variant>
        <vt:i4>1703999</vt:i4>
      </vt:variant>
      <vt:variant>
        <vt:i4>104</vt:i4>
      </vt:variant>
      <vt:variant>
        <vt:i4>0</vt:i4>
      </vt:variant>
      <vt:variant>
        <vt:i4>5</vt:i4>
      </vt:variant>
      <vt:variant>
        <vt:lpwstr/>
      </vt:variant>
      <vt:variant>
        <vt:lpwstr>_Toc88126502</vt:lpwstr>
      </vt:variant>
      <vt:variant>
        <vt:i4>1638463</vt:i4>
      </vt:variant>
      <vt:variant>
        <vt:i4>98</vt:i4>
      </vt:variant>
      <vt:variant>
        <vt:i4>0</vt:i4>
      </vt:variant>
      <vt:variant>
        <vt:i4>5</vt:i4>
      </vt:variant>
      <vt:variant>
        <vt:lpwstr/>
      </vt:variant>
      <vt:variant>
        <vt:lpwstr>_Toc88126501</vt:lpwstr>
      </vt:variant>
      <vt:variant>
        <vt:i4>1572927</vt:i4>
      </vt:variant>
      <vt:variant>
        <vt:i4>92</vt:i4>
      </vt:variant>
      <vt:variant>
        <vt:i4>0</vt:i4>
      </vt:variant>
      <vt:variant>
        <vt:i4>5</vt:i4>
      </vt:variant>
      <vt:variant>
        <vt:lpwstr/>
      </vt:variant>
      <vt:variant>
        <vt:lpwstr>_Toc88126500</vt:lpwstr>
      </vt:variant>
      <vt:variant>
        <vt:i4>1048630</vt:i4>
      </vt:variant>
      <vt:variant>
        <vt:i4>86</vt:i4>
      </vt:variant>
      <vt:variant>
        <vt:i4>0</vt:i4>
      </vt:variant>
      <vt:variant>
        <vt:i4>5</vt:i4>
      </vt:variant>
      <vt:variant>
        <vt:lpwstr/>
      </vt:variant>
      <vt:variant>
        <vt:lpwstr>_Toc88126499</vt:lpwstr>
      </vt:variant>
      <vt:variant>
        <vt:i4>1114166</vt:i4>
      </vt:variant>
      <vt:variant>
        <vt:i4>80</vt:i4>
      </vt:variant>
      <vt:variant>
        <vt:i4>0</vt:i4>
      </vt:variant>
      <vt:variant>
        <vt:i4>5</vt:i4>
      </vt:variant>
      <vt:variant>
        <vt:lpwstr/>
      </vt:variant>
      <vt:variant>
        <vt:lpwstr>_Toc88126498</vt:lpwstr>
      </vt:variant>
      <vt:variant>
        <vt:i4>1966134</vt:i4>
      </vt:variant>
      <vt:variant>
        <vt:i4>74</vt:i4>
      </vt:variant>
      <vt:variant>
        <vt:i4>0</vt:i4>
      </vt:variant>
      <vt:variant>
        <vt:i4>5</vt:i4>
      </vt:variant>
      <vt:variant>
        <vt:lpwstr/>
      </vt:variant>
      <vt:variant>
        <vt:lpwstr>_Toc88126497</vt:lpwstr>
      </vt:variant>
      <vt:variant>
        <vt:i4>2031670</vt:i4>
      </vt:variant>
      <vt:variant>
        <vt:i4>68</vt:i4>
      </vt:variant>
      <vt:variant>
        <vt:i4>0</vt:i4>
      </vt:variant>
      <vt:variant>
        <vt:i4>5</vt:i4>
      </vt:variant>
      <vt:variant>
        <vt:lpwstr/>
      </vt:variant>
      <vt:variant>
        <vt:lpwstr>_Toc88126496</vt:lpwstr>
      </vt:variant>
      <vt:variant>
        <vt:i4>1835062</vt:i4>
      </vt:variant>
      <vt:variant>
        <vt:i4>62</vt:i4>
      </vt:variant>
      <vt:variant>
        <vt:i4>0</vt:i4>
      </vt:variant>
      <vt:variant>
        <vt:i4>5</vt:i4>
      </vt:variant>
      <vt:variant>
        <vt:lpwstr/>
      </vt:variant>
      <vt:variant>
        <vt:lpwstr>_Toc88126495</vt:lpwstr>
      </vt:variant>
      <vt:variant>
        <vt:i4>1900598</vt:i4>
      </vt:variant>
      <vt:variant>
        <vt:i4>56</vt:i4>
      </vt:variant>
      <vt:variant>
        <vt:i4>0</vt:i4>
      </vt:variant>
      <vt:variant>
        <vt:i4>5</vt:i4>
      </vt:variant>
      <vt:variant>
        <vt:lpwstr/>
      </vt:variant>
      <vt:variant>
        <vt:lpwstr>_Toc88126494</vt:lpwstr>
      </vt:variant>
      <vt:variant>
        <vt:i4>1703990</vt:i4>
      </vt:variant>
      <vt:variant>
        <vt:i4>50</vt:i4>
      </vt:variant>
      <vt:variant>
        <vt:i4>0</vt:i4>
      </vt:variant>
      <vt:variant>
        <vt:i4>5</vt:i4>
      </vt:variant>
      <vt:variant>
        <vt:lpwstr/>
      </vt:variant>
      <vt:variant>
        <vt:lpwstr>_Toc88126493</vt:lpwstr>
      </vt:variant>
      <vt:variant>
        <vt:i4>1769526</vt:i4>
      </vt:variant>
      <vt:variant>
        <vt:i4>44</vt:i4>
      </vt:variant>
      <vt:variant>
        <vt:i4>0</vt:i4>
      </vt:variant>
      <vt:variant>
        <vt:i4>5</vt:i4>
      </vt:variant>
      <vt:variant>
        <vt:lpwstr/>
      </vt:variant>
      <vt:variant>
        <vt:lpwstr>_Toc88126492</vt:lpwstr>
      </vt:variant>
      <vt:variant>
        <vt:i4>1572918</vt:i4>
      </vt:variant>
      <vt:variant>
        <vt:i4>38</vt:i4>
      </vt:variant>
      <vt:variant>
        <vt:i4>0</vt:i4>
      </vt:variant>
      <vt:variant>
        <vt:i4>5</vt:i4>
      </vt:variant>
      <vt:variant>
        <vt:lpwstr/>
      </vt:variant>
      <vt:variant>
        <vt:lpwstr>_Toc88126491</vt:lpwstr>
      </vt:variant>
      <vt:variant>
        <vt:i4>1638454</vt:i4>
      </vt:variant>
      <vt:variant>
        <vt:i4>32</vt:i4>
      </vt:variant>
      <vt:variant>
        <vt:i4>0</vt:i4>
      </vt:variant>
      <vt:variant>
        <vt:i4>5</vt:i4>
      </vt:variant>
      <vt:variant>
        <vt:lpwstr/>
      </vt:variant>
      <vt:variant>
        <vt:lpwstr>_Toc88126490</vt:lpwstr>
      </vt:variant>
      <vt:variant>
        <vt:i4>1048631</vt:i4>
      </vt:variant>
      <vt:variant>
        <vt:i4>26</vt:i4>
      </vt:variant>
      <vt:variant>
        <vt:i4>0</vt:i4>
      </vt:variant>
      <vt:variant>
        <vt:i4>5</vt:i4>
      </vt:variant>
      <vt:variant>
        <vt:lpwstr/>
      </vt:variant>
      <vt:variant>
        <vt:lpwstr>_Toc88126489</vt:lpwstr>
      </vt:variant>
      <vt:variant>
        <vt:i4>1114167</vt:i4>
      </vt:variant>
      <vt:variant>
        <vt:i4>20</vt:i4>
      </vt:variant>
      <vt:variant>
        <vt:i4>0</vt:i4>
      </vt:variant>
      <vt:variant>
        <vt:i4>5</vt:i4>
      </vt:variant>
      <vt:variant>
        <vt:lpwstr/>
      </vt:variant>
      <vt:variant>
        <vt:lpwstr>_Toc88126488</vt:lpwstr>
      </vt:variant>
      <vt:variant>
        <vt:i4>1966135</vt:i4>
      </vt:variant>
      <vt:variant>
        <vt:i4>14</vt:i4>
      </vt:variant>
      <vt:variant>
        <vt:i4>0</vt:i4>
      </vt:variant>
      <vt:variant>
        <vt:i4>5</vt:i4>
      </vt:variant>
      <vt:variant>
        <vt:lpwstr/>
      </vt:variant>
      <vt:variant>
        <vt:lpwstr>_Toc88126487</vt:lpwstr>
      </vt:variant>
      <vt:variant>
        <vt:i4>2031671</vt:i4>
      </vt:variant>
      <vt:variant>
        <vt:i4>8</vt:i4>
      </vt:variant>
      <vt:variant>
        <vt:i4>0</vt:i4>
      </vt:variant>
      <vt:variant>
        <vt:i4>5</vt:i4>
      </vt:variant>
      <vt:variant>
        <vt:lpwstr/>
      </vt:variant>
      <vt:variant>
        <vt:lpwstr>_Toc88126486</vt:lpwstr>
      </vt:variant>
      <vt:variant>
        <vt:i4>1835063</vt:i4>
      </vt:variant>
      <vt:variant>
        <vt:i4>2</vt:i4>
      </vt:variant>
      <vt:variant>
        <vt:i4>0</vt:i4>
      </vt:variant>
      <vt:variant>
        <vt:i4>5</vt:i4>
      </vt:variant>
      <vt:variant>
        <vt:lpwstr/>
      </vt:variant>
      <vt:variant>
        <vt:lpwstr>_Toc88126485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RMV III - MIXED-USE NEIGHBORHOODS</dc:title>
  <dc:subject/>
  <dc:creator>Judy Ward</dc:creator>
  <cp:keywords/>
  <dc:description/>
  <cp:lastModifiedBy>Brownstein</cp:lastModifiedBy>
  <cp:revision>2</cp:revision>
  <cp:lastPrinted>2014-06-23T22:40:00Z</cp:lastPrinted>
  <dcterms:created xsi:type="dcterms:W3CDTF">2023-09-01T18:26:00Z</dcterms:created>
  <dcterms:modified xsi:type="dcterms:W3CDTF">2023-09-01T18:26:00Z</dcterms:modified>
</cp:coreProperties>
</file>